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0C" w:rsidRPr="00BE498B" w:rsidRDefault="0061480C" w:rsidP="00BE498B">
      <w:pPr>
        <w:shd w:val="clear" w:color="auto" w:fill="FFFFFF"/>
        <w:spacing w:line="312" w:lineRule="auto"/>
        <w:ind w:left="10440"/>
        <w:jc w:val="both"/>
        <w:rPr>
          <w:rFonts w:ascii="Verdana" w:hAnsi="Verdana" w:cs="Calibri"/>
          <w:b/>
          <w:color w:val="000000"/>
          <w:sz w:val="18"/>
          <w:szCs w:val="18"/>
        </w:rPr>
      </w:pPr>
      <w:r w:rsidRPr="003F6FDD">
        <w:rPr>
          <w:rFonts w:ascii="Verdana" w:hAnsi="Verdana" w:cs="Calibri"/>
          <w:b/>
          <w:color w:val="000000"/>
          <w:sz w:val="18"/>
          <w:szCs w:val="18"/>
        </w:rPr>
        <w:t xml:space="preserve">Приложение към </w:t>
      </w:r>
      <w:r>
        <w:rPr>
          <w:rFonts w:ascii="Verdana" w:hAnsi="Verdana" w:cs="Calibri"/>
          <w:b/>
          <w:color w:val="000000"/>
          <w:sz w:val="18"/>
          <w:szCs w:val="18"/>
          <w:lang w:val="en-US"/>
        </w:rPr>
        <w:t xml:space="preserve">т. </w:t>
      </w:r>
      <w:proofErr w:type="gramStart"/>
      <w:r>
        <w:rPr>
          <w:rFonts w:ascii="Verdana" w:hAnsi="Verdana" w:cs="Calibri"/>
          <w:b/>
          <w:color w:val="000000"/>
          <w:sz w:val="18"/>
          <w:szCs w:val="18"/>
          <w:lang w:val="en-US"/>
        </w:rPr>
        <w:t>2 о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т Решение № </w:t>
      </w:r>
      <w:r>
        <w:rPr>
          <w:rFonts w:ascii="Verdana" w:hAnsi="Verdana" w:cs="Calibri"/>
          <w:b/>
          <w:color w:val="000000"/>
          <w:sz w:val="18"/>
          <w:szCs w:val="18"/>
          <w:lang w:val="en-US"/>
        </w:rPr>
        <w:t>797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на </w:t>
      </w:r>
      <w:r w:rsidRPr="00BE498B">
        <w:rPr>
          <w:rFonts w:ascii="Verdana" w:hAnsi="Verdana" w:cs="Calibri"/>
          <w:b/>
          <w:color w:val="000000"/>
          <w:sz w:val="18"/>
          <w:szCs w:val="18"/>
        </w:rPr>
        <w:t>Министерския съвет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от 2020 г.</w:t>
      </w:r>
      <w:proofErr w:type="gramEnd"/>
    </w:p>
    <w:p w:rsidR="0061480C" w:rsidRPr="003F6FDD" w:rsidRDefault="0061480C" w:rsidP="0001659F">
      <w:pPr>
        <w:spacing w:line="276" w:lineRule="auto"/>
        <w:ind w:left="567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61480C" w:rsidRPr="003F6FDD" w:rsidRDefault="0061480C" w:rsidP="0001659F">
      <w:pPr>
        <w:spacing w:line="276" w:lineRule="auto"/>
        <w:ind w:left="567"/>
        <w:jc w:val="center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3F6FDD">
        <w:rPr>
          <w:rFonts w:ascii="Verdana" w:hAnsi="Verdana" w:cs="Calibri"/>
          <w:b/>
          <w:bCs/>
          <w:color w:val="000000"/>
          <w:sz w:val="18"/>
          <w:szCs w:val="18"/>
        </w:rPr>
        <w:t>ПРОГРАМА</w:t>
      </w:r>
    </w:p>
    <w:p w:rsidR="0061480C" w:rsidRPr="003F6FDD" w:rsidRDefault="0061480C" w:rsidP="0001659F">
      <w:pPr>
        <w:spacing w:line="276" w:lineRule="auto"/>
        <w:ind w:left="567"/>
        <w:jc w:val="center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3F6FDD">
        <w:rPr>
          <w:rFonts w:ascii="Verdana" w:hAnsi="Verdana" w:cs="Calibri"/>
          <w:b/>
          <w:bCs/>
          <w:color w:val="000000"/>
          <w:sz w:val="18"/>
          <w:szCs w:val="18"/>
        </w:rPr>
        <w:t>за портфейлни гаранции в подкрепа на ликвидността на предприятията, пострадали от извънредната ситуация и епидемията от СOVID-19</w:t>
      </w:r>
    </w:p>
    <w:p w:rsidR="0061480C" w:rsidRPr="003F6FDD" w:rsidRDefault="0061480C" w:rsidP="0001659F">
      <w:pPr>
        <w:spacing w:after="120" w:line="276" w:lineRule="auto"/>
        <w:ind w:left="567" w:right="142" w:firstLine="708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61480C" w:rsidRPr="003F6FDD" w:rsidRDefault="0061480C" w:rsidP="00AD6547">
      <w:pPr>
        <w:ind w:left="567"/>
        <w:jc w:val="both"/>
        <w:rPr>
          <w:rFonts w:ascii="Verdana" w:hAnsi="Verdana" w:cs="Calibri"/>
          <w:sz w:val="18"/>
          <w:szCs w:val="18"/>
        </w:rPr>
      </w:pPr>
      <w:r w:rsidRPr="003F6FDD">
        <w:rPr>
          <w:rFonts w:ascii="Verdana" w:hAnsi="Verdana" w:cs="Calibri"/>
          <w:sz w:val="18"/>
          <w:szCs w:val="18"/>
        </w:rPr>
        <w:t xml:space="preserve">Програмата е една от поредицата мерки на българското правителство за преодоляване на сериозни затруднения в икономиката. Мярката се привежда в съответствие с изискванията на категория държавна помощ - „Помощ под формата на гаранции по заеми“, описана в </w:t>
      </w:r>
      <w:r w:rsidRPr="003F6FDD">
        <w:rPr>
          <w:rFonts w:ascii="Verdana" w:hAnsi="Verdana" w:cs="Calibri"/>
          <w:b/>
          <w:bCs/>
          <w:sz w:val="18"/>
          <w:szCs w:val="18"/>
        </w:rPr>
        <w:t xml:space="preserve">раздел 3.2 от </w:t>
      </w:r>
      <w:r w:rsidRPr="003F6FDD">
        <w:rPr>
          <w:rFonts w:ascii="Verdana" w:hAnsi="Verdana" w:cs="Calibri"/>
          <w:sz w:val="18"/>
          <w:szCs w:val="18"/>
        </w:rPr>
        <w:t>Временна рамка за мерки за държавна помощ в подкрепа на икономиката в условията на сегашния епидемичен взрив от COVID-19 (</w:t>
      </w:r>
      <w:r w:rsidRPr="003F6FDD">
        <w:rPr>
          <w:rFonts w:ascii="Verdana" w:hAnsi="Verdana" w:cs="Calibri"/>
          <w:b/>
          <w:bCs/>
          <w:sz w:val="18"/>
          <w:szCs w:val="18"/>
        </w:rPr>
        <w:t>Временната рамка</w:t>
      </w:r>
      <w:r w:rsidRPr="003F6FDD">
        <w:rPr>
          <w:rFonts w:ascii="Verdana" w:hAnsi="Verdana" w:cs="Calibri"/>
          <w:sz w:val="18"/>
          <w:szCs w:val="18"/>
        </w:rPr>
        <w:t xml:space="preserve">), и изискванията за помощ под формата на гаранции и заеми, отпускани чрез кредитни и други финансови институции, описани в </w:t>
      </w:r>
      <w:r w:rsidRPr="003F6FDD">
        <w:rPr>
          <w:rFonts w:ascii="Verdana" w:hAnsi="Verdana" w:cs="Calibri"/>
          <w:b/>
          <w:bCs/>
          <w:sz w:val="18"/>
          <w:szCs w:val="18"/>
        </w:rPr>
        <w:t>раздел 3.4 от Временната рамка</w:t>
      </w:r>
      <w:r w:rsidRPr="003F6FDD">
        <w:rPr>
          <w:rFonts w:ascii="Verdana" w:hAnsi="Verdana" w:cs="Calibri"/>
          <w:sz w:val="18"/>
          <w:szCs w:val="18"/>
        </w:rPr>
        <w:t xml:space="preserve">. </w:t>
      </w:r>
    </w:p>
    <w:p w:rsidR="0061480C" w:rsidRPr="003F6FDD" w:rsidRDefault="0061480C" w:rsidP="0001659F">
      <w:pPr>
        <w:spacing w:after="120" w:line="276" w:lineRule="auto"/>
        <w:ind w:left="567"/>
        <w:jc w:val="both"/>
        <w:rPr>
          <w:rFonts w:ascii="Verdana" w:hAnsi="Verdana" w:cs="Calibri"/>
          <w:color w:val="000000"/>
          <w:sz w:val="18"/>
          <w:szCs w:val="18"/>
        </w:rPr>
      </w:pPr>
    </w:p>
    <w:tbl>
      <w:tblPr>
        <w:tblW w:w="15460" w:type="dxa"/>
        <w:tblInd w:w="4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62"/>
        <w:gridCol w:w="1919"/>
        <w:gridCol w:w="30"/>
        <w:gridCol w:w="12449"/>
      </w:tblGrid>
      <w:tr w:rsidR="0061480C" w:rsidRPr="001B6BBF" w:rsidTr="00CD7A2E">
        <w:trPr>
          <w:trHeight w:val="41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1B6BBF">
              <w:rPr>
                <w:rFonts w:ascii="Verdana" w:hAnsi="Verdana" w:cs="Calibri"/>
                <w:b/>
                <w:sz w:val="18"/>
                <w:szCs w:val="18"/>
              </w:rPr>
              <w:t>Параметри на Програмата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 w:right="278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sz w:val="18"/>
                <w:szCs w:val="18"/>
              </w:rPr>
              <w:t>Описание</w:t>
            </w:r>
          </w:p>
        </w:tc>
      </w:tr>
      <w:tr w:rsidR="0061480C" w:rsidRPr="001B6BBF" w:rsidTr="00CD7A2E">
        <w:trPr>
          <w:trHeight w:val="427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sz w:val="18"/>
                <w:szCs w:val="18"/>
              </w:rPr>
              <w:t>Инструмент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Портфейлни гаранции от Българска банка за развитие (ББР) по заеми за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предприятия, предоставяни от търговски банки (финансови посредници) с цел осигуряване на ликвидност за предприятията за 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lang w:val="ru-RU"/>
              </w:rPr>
              <w:t>пре</w:t>
            </w:r>
            <w:r w:rsidRPr="001B6BBF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одоляване на негативните икономически последици от </w:t>
            </w:r>
            <w:r w:rsidRPr="001B6BBF">
              <w:rPr>
                <w:rFonts w:ascii="Verdana" w:hAnsi="Verdana" w:cs="Calibri"/>
                <w:sz w:val="18"/>
                <w:szCs w:val="18"/>
              </w:rPr>
              <w:t>разпространението на COVID-19.</w:t>
            </w:r>
          </w:p>
        </w:tc>
      </w:tr>
      <w:tr w:rsidR="0061480C" w:rsidRPr="001B6BBF" w:rsidTr="00CD7A2E">
        <w:trPr>
          <w:trHeight w:val="87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sz w:val="18"/>
                <w:szCs w:val="18"/>
              </w:rPr>
              <w:t>Сектори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C86260">
            <w:pPr>
              <w:widowControl w:val="0"/>
              <w:tabs>
                <w:tab w:val="left" w:pos="706"/>
              </w:tabs>
              <w:spacing w:after="246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Мярката е отворена за всички сектори. Прилага се за цялата територия на България. Очаква се, че от мярката ще се възползват основно секторите, които са най-силно засегнати от кризата, т.е. търговия, услуги, включително транспорт, туризъм, хотелиерство и ресторантьорство, логистика, износ и други.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sz w:val="18"/>
                <w:szCs w:val="18"/>
              </w:rPr>
              <w:t>Максимален гаранционен процент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450423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До 80%  от формираните от банките портфейли с допустими кредити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</w:tr>
      <w:tr w:rsidR="0061480C" w:rsidRPr="001B6BBF" w:rsidTr="00CD7A2E">
        <w:trPr>
          <w:trHeight w:val="542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bookmarkStart w:id="0" w:name="_Hlk37757922"/>
            <w:r w:rsidRPr="001B6BBF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sz w:val="18"/>
                <w:szCs w:val="18"/>
              </w:rPr>
              <w:t>Максимален размер на кредит към едно лице и свързани лица включен в портфейла по Програмата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C86260">
            <w:pPr>
              <w:suppressAutoHyphens/>
              <w:ind w:right="136"/>
              <w:contextualSpacing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1B6BBF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Максималният размер на </w:t>
            </w:r>
            <w:r w:rsidRPr="001B6BBF">
              <w:rPr>
                <w:rFonts w:ascii="Verdana" w:hAnsi="Verdana" w:cs="Calibri"/>
                <w:sz w:val="18"/>
                <w:szCs w:val="18"/>
                <w:lang w:eastAsia="zh-CN"/>
              </w:rPr>
              <w:t>заема или заемите към отделния бенефициер</w:t>
            </w:r>
            <w:r w:rsidRPr="001B6BBF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 ще бъде определен в съответствие с член 25, буква г) от Временната рамка, а именно:</w:t>
            </w:r>
          </w:p>
          <w:p w:rsidR="0061480C" w:rsidRPr="001B6BBF" w:rsidRDefault="0061480C" w:rsidP="00C86260">
            <w:pPr>
              <w:suppressAutoHyphens/>
              <w:ind w:right="136"/>
              <w:contextualSpacing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За заеми с падеж след 30 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>юни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 2021 г. сумата на 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заема/заемите на 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>отделния бенефициер не надвишава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>/т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>:</w:t>
            </w:r>
          </w:p>
          <w:p w:rsidR="0061480C" w:rsidRPr="003F6FDD" w:rsidRDefault="0061480C" w:rsidP="006166EA">
            <w:pPr>
              <w:numPr>
                <w:ilvl w:val="0"/>
                <w:numId w:val="10"/>
              </w:numPr>
              <w:suppressAutoHyphens/>
              <w:spacing w:after="200"/>
              <w:ind w:left="254" w:right="136" w:hanging="142"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>два пъти годишната стойност на разходите за заплати на бенефициера (в това число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>,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 социалните осигуровки и разходите за персонал, работещ на място в предприятието, но заведен официално на заплата към подизпълнители) за 2019 г. или за последната налична година. За предприятия, създадени на или след 1 януари 2019 г., максималният размер на заема не трябва да надхвърля очакваната годишна стойност на заплатите за първите две години на дейност; или</w:t>
            </w:r>
          </w:p>
          <w:p w:rsidR="0061480C" w:rsidRPr="003F6FDD" w:rsidRDefault="0061480C" w:rsidP="006166EA">
            <w:pPr>
              <w:numPr>
                <w:ilvl w:val="0"/>
                <w:numId w:val="10"/>
              </w:numPr>
              <w:suppressAutoHyphens/>
              <w:spacing w:after="200"/>
              <w:ind w:left="254" w:right="136" w:hanging="142"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hu-HU"/>
              </w:rPr>
              <w:t>25 % от общия оборот на бенефициера през 2019 г.; или</w:t>
            </w:r>
          </w:p>
          <w:p w:rsidR="0061480C" w:rsidRPr="003F6FDD" w:rsidRDefault="0061480C" w:rsidP="006166EA">
            <w:pPr>
              <w:numPr>
                <w:ilvl w:val="0"/>
                <w:numId w:val="10"/>
              </w:numPr>
              <w:suppressAutoHyphens/>
              <w:spacing w:after="200"/>
              <w:ind w:left="254" w:right="136" w:hanging="142"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hu-HU"/>
              </w:rPr>
              <w:t xml:space="preserve">с подходяща обосновка и въз основа на самостоятелно сертифициране от страна на бенефициера 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>за собствените му нужди от ликвидност</w:t>
            </w:r>
            <w:r w:rsidRPr="003F6FDD">
              <w:rPr>
                <w:rFonts w:ascii="Verdana" w:hAnsi="Verdana" w:cs="Calibri"/>
                <w:sz w:val="18"/>
                <w:szCs w:val="18"/>
                <w:vertAlign w:val="superscript"/>
              </w:rPr>
              <w:t xml:space="preserve"> </w:t>
            </w:r>
            <w:r w:rsidRPr="003F6FDD">
              <w:rPr>
                <w:rFonts w:ascii="Verdana" w:hAnsi="Verdana" w:cs="Calibri"/>
                <w:sz w:val="18"/>
                <w:szCs w:val="18"/>
                <w:vertAlign w:val="superscript"/>
              </w:rPr>
              <w:footnoteReference w:id="1"/>
            </w:r>
            <w:r w:rsidRPr="003F6FDD">
              <w:rPr>
                <w:rFonts w:ascii="Verdana" w:hAnsi="Verdana" w:cs="Calibri"/>
                <w:sz w:val="18"/>
                <w:szCs w:val="18"/>
                <w:lang w:val="hu-HU"/>
              </w:rPr>
              <w:t xml:space="preserve"> </w:t>
            </w:r>
            <w:r w:rsidRPr="003F6FDD">
              <w:rPr>
                <w:rFonts w:ascii="Verdana" w:hAnsi="Verdana" w:cs="Calibri"/>
                <w:sz w:val="18"/>
                <w:szCs w:val="18"/>
              </w:rPr>
              <w:t>,</w:t>
            </w:r>
            <w:r w:rsidRPr="003F6FDD">
              <w:rPr>
                <w:rFonts w:ascii="Verdana" w:hAnsi="Verdana"/>
                <w:sz w:val="18"/>
                <w:szCs w:val="18"/>
                <w:lang w:eastAsia="zh-CN"/>
              </w:rPr>
              <w:t xml:space="preserve"> 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>размерът на заема може да бъде увеличен за покриване на нуждите от ликвидност от момента на предоставяне за следващите 18 месеца за МСП и от момента на предоставяне за следващите 12 месеца за големи предприятия</w:t>
            </w:r>
          </w:p>
          <w:p w:rsidR="0061480C" w:rsidRPr="003F6FDD" w:rsidRDefault="0061480C" w:rsidP="006166EA">
            <w:pPr>
              <w:suppressAutoHyphens/>
              <w:spacing w:after="200"/>
              <w:ind w:right="136"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lastRenderedPageBreak/>
              <w:t>За заеми със срок до 3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>0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 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>юни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 2021 г. размерът на главницата може да бъде по-висок от този по точка 25, буква г), при условие че се предостави подходяща обосновка и продължава да е гарантирана пропорционалността на помощта.</w:t>
            </w:r>
          </w:p>
          <w:p w:rsidR="0061480C" w:rsidRPr="001B6BBF" w:rsidRDefault="0061480C" w:rsidP="006166EA">
            <w:pPr>
              <w:suppressAutoHyphens/>
              <w:ind w:right="136"/>
              <w:contextualSpacing/>
              <w:jc w:val="both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1B6BBF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При всички случаи максималният размер на </w:t>
            </w:r>
            <w:r w:rsidRPr="001B6BBF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предоставено финансиране на кредитополучател и свързаните с него лица </w:t>
            </w:r>
            <w:r w:rsidRPr="001B6BBF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не трябва да надвишава </w:t>
            </w:r>
            <w:r w:rsidRPr="001B6BBF">
              <w:rPr>
                <w:rFonts w:ascii="Verdana" w:hAnsi="Verdana" w:cs="Calibri"/>
                <w:sz w:val="18"/>
                <w:szCs w:val="18"/>
                <w:lang w:eastAsia="zh-CN"/>
              </w:rPr>
              <w:t>1 000 000 лева за МСП и 2 000 000 лева за големи предприятия</w:t>
            </w:r>
            <w:r w:rsidRPr="001B6BBF">
              <w:rPr>
                <w:rStyle w:val="alt2"/>
                <w:rFonts w:ascii="Verdana" w:hAnsi="Verdana"/>
                <w:sz w:val="18"/>
                <w:szCs w:val="18"/>
              </w:rPr>
              <w:t xml:space="preserve">, представляващи </w:t>
            </w:r>
            <w:r w:rsidRPr="001B6BBF">
              <w:rPr>
                <w:rFonts w:ascii="Verdana" w:hAnsi="Verdana" w:cs="Calibri"/>
                <w:sz w:val="18"/>
                <w:szCs w:val="18"/>
                <w:lang w:eastAsia="zh-CN"/>
              </w:rPr>
              <w:t>търговски дружества по смисъла на Търговския закон.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bookmarkEnd w:id="0"/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AD6547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Механизъм на формиране на портфейлите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450423">
            <w:pPr>
              <w:spacing w:line="252" w:lineRule="auto"/>
              <w:ind w:right="136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Включването е на портфейлна база - </w:t>
            </w:r>
            <w:r w:rsidRPr="001B6BBF">
              <w:rPr>
                <w:rFonts w:ascii="Verdana" w:hAnsi="Verdana" w:cs="Calibri"/>
                <w:color w:val="000000"/>
                <w:sz w:val="18"/>
                <w:szCs w:val="18"/>
              </w:rPr>
              <w:t>не се изисква одобрение от ББР за включването им в гарантирания портфейл.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Очакван портфейл кредити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1 250 000 000  лева </w:t>
            </w:r>
          </w:p>
        </w:tc>
      </w:tr>
      <w:tr w:rsidR="0061480C" w:rsidRPr="001B6BBF" w:rsidTr="00CD7A2E">
        <w:trPr>
          <w:trHeight w:val="334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Очакван портфейл гаранции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1 000 000 000 лева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Бюджет на Програмата</w:t>
            </w:r>
          </w:p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и</w:t>
            </w:r>
          </w:p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Максимален размер на очакваните загуби по мярката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450423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450423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500 000 000 лева </w:t>
            </w:r>
          </w:p>
          <w:p w:rsidR="0061480C" w:rsidRPr="001B6BBF" w:rsidRDefault="0061480C" w:rsidP="00450423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100 % от бюджета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Гаранционно покритие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3F6FDD" w:rsidRDefault="0061480C" w:rsidP="00450423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F6FDD">
              <w:rPr>
                <w:rFonts w:ascii="Verdana" w:hAnsi="Verdana" w:cs="Calibri"/>
                <w:sz w:val="18"/>
                <w:szCs w:val="18"/>
              </w:rPr>
              <w:t>До 80% от главниците по кредитите</w:t>
            </w:r>
          </w:p>
          <w:p w:rsidR="0061480C" w:rsidRPr="003F6FDD" w:rsidRDefault="0061480C" w:rsidP="00450423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fr-FR"/>
              </w:rPr>
              <w:t>P</w:t>
            </w:r>
            <w:r w:rsidRPr="003F6FDD">
              <w:rPr>
                <w:rFonts w:ascii="Verdana" w:hAnsi="Verdana" w:cs="Calibri"/>
                <w:sz w:val="18"/>
                <w:szCs w:val="18"/>
              </w:rPr>
              <w:t xml:space="preserve">ari passu </w:t>
            </w:r>
            <w:r w:rsidRPr="003F6FDD">
              <w:rPr>
                <w:rFonts w:ascii="Verdana" w:hAnsi="Verdana" w:cs="Calibri"/>
                <w:sz w:val="18"/>
                <w:szCs w:val="18"/>
                <w:lang w:val="bg-BG"/>
              </w:rPr>
              <w:t>споделяне на риска</w:t>
            </w:r>
          </w:p>
          <w:p w:rsidR="0061480C" w:rsidRPr="003F6FDD" w:rsidRDefault="0061480C" w:rsidP="00450423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F6FDD">
              <w:rPr>
                <w:rFonts w:ascii="Verdana" w:hAnsi="Verdana" w:cs="Calibri"/>
                <w:sz w:val="18"/>
                <w:szCs w:val="18"/>
              </w:rPr>
              <w:t>Минимално участие на търговските банки в риска по всеки гарантиран кредит от 20%</w:t>
            </w:r>
          </w:p>
          <w:p w:rsidR="0061480C" w:rsidRPr="003F6FDD" w:rsidRDefault="0061480C" w:rsidP="00450423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F6FDD">
              <w:rPr>
                <w:rFonts w:ascii="Verdana" w:hAnsi="Verdana" w:cs="Calibri"/>
                <w:sz w:val="18"/>
                <w:szCs w:val="18"/>
              </w:rPr>
              <w:t>С намаляването на дълга по кредита, се намалява и съответната гарантирана част от него.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Лимит на гаранционните плащания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До 50% от Гарантирания</w:t>
            </w:r>
            <w:r w:rsidRPr="001B6BB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1B6BBF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портфейл,</w:t>
            </w:r>
            <w:r w:rsidRPr="001B6BB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1B6BBF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револвиращ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292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Гарантираща институция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Българска банка за развитие (ББР)</w:t>
            </w:r>
          </w:p>
        </w:tc>
      </w:tr>
      <w:tr w:rsidR="0061480C" w:rsidRPr="001B6BBF" w:rsidTr="00CD7A2E">
        <w:trPr>
          <w:trHeight w:val="63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Администриране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Гаранционният продукт се администрира от Групата на ББР АД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Включване на кредити в гарантирания портфейл</w:t>
            </w:r>
          </w:p>
          <w:p w:rsidR="0061480C" w:rsidRPr="001B6BBF" w:rsidRDefault="0061480C" w:rsidP="006A1914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Кандидатстване от страна на предприятията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CA377D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Срокът за включване на кредити се променя съответно на измененията в т. 25 буква в) от Временната рамка - до  30.06.2021г., или на друг по-късен срок, при последващо изменение на Временната рамка.</w:t>
            </w:r>
          </w:p>
          <w:p w:rsidR="0061480C" w:rsidRPr="001B6BBF" w:rsidRDefault="0061480C" w:rsidP="00CA377D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CA377D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CA377D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lastRenderedPageBreak/>
              <w:t xml:space="preserve">Срокът за кандидатстване за кредити по Програмата се променя съответно с удължения срок в т.25 буква в) от  Временната рамка, като винаги е пет работни дни преди него. 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Срокът за кандидатстване е до 23.06.2021 г. или друг съответно удължен по-късен срок, при последващо изменение на Временната рамка.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Срок на гаранцията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До 6 (шест) години.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Минимален срок на гарантираните кредити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няма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Максимален срок на гарантираните кредити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няма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Гратисен период за плащания по главница и лихва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ind w:right="136"/>
              <w:rPr>
                <w:rFonts w:ascii="Verdana" w:hAnsi="Verdana" w:cs="Calibri"/>
                <w:bCs/>
                <w:sz w:val="18"/>
                <w:szCs w:val="18"/>
                <w:lang w:val="hu-HU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До 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lang w:val="en-US"/>
              </w:rPr>
              <w:t>36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месеца: за </w:t>
            </w:r>
            <w:r w:rsidRPr="001B6BBF">
              <w:rPr>
                <w:rFonts w:ascii="Verdana" w:hAnsi="Verdana"/>
                <w:bCs/>
                <w:sz w:val="18"/>
                <w:szCs w:val="18"/>
              </w:rPr>
              <w:t>Под-портфейла за нови кредити</w:t>
            </w:r>
          </w:p>
          <w:p w:rsidR="0061480C" w:rsidRPr="001B6BBF" w:rsidRDefault="0061480C" w:rsidP="006166EA">
            <w:pPr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Допустими кредитополучатели: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Всички категории предприятия, осъществяващи стопанска дейност и регистрирани в България, които търпят неблагоприятни икономическите последици от разпространението на епидемията от 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lang w:val="en-GB"/>
              </w:rPr>
              <w:t>COVID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19, включително и големите предприятия</w:t>
            </w:r>
            <w:r w:rsidRPr="001B6BBF">
              <w:rPr>
                <w:rStyle w:val="alt2"/>
                <w:rFonts w:ascii="Verdana" w:hAnsi="Verdana"/>
                <w:bCs/>
                <w:sz w:val="18"/>
                <w:szCs w:val="18"/>
              </w:rPr>
              <w:t xml:space="preserve">, представляващи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търговски дружества, по смисъла на Търговския закон, които са извън предметния обхват на Закона за малките и средни предприятия.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Критерии за допустимост (наличието на един от тях е достатъчен):</w:t>
            </w: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52" w:lineRule="auto"/>
              <w:ind w:left="0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Спад на оборота след първото тримесечие на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GB" w:eastAsia="bg-BG"/>
              </w:rPr>
              <w:t> 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2020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GB" w:eastAsia="bg-BG"/>
              </w:rPr>
              <w:t> 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г. спрямо същия период в 2019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GB" w:eastAsia="bg-BG"/>
              </w:rPr>
              <w:t> 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г. (въз основа на финансовите отчети на дружеството)</w:t>
            </w: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52" w:lineRule="auto"/>
              <w:ind w:left="0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Наличие на вземания от клиенти, които не са получени/суми, неразплатени към доставчици, след 01.03.2020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GB" w:eastAsia="bg-BG"/>
              </w:rPr>
              <w:t> 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г. (въз основа на финансовите отчети на дружеството)</w:t>
            </w: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52" w:lineRule="auto"/>
              <w:ind w:left="0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Прекратени доставки от внос, необходими за дейността на предприятието — след 01.01.2020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GB" w:eastAsia="bg-BG"/>
              </w:rPr>
              <w:t> 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г., отменени договори за износ (въз основа на сертификати и документи, представени от дружеството)</w:t>
            </w: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52" w:lineRule="auto"/>
              <w:ind w:left="0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Случаи на болест и самоизолация на служителите, общо намаление на броя на заетите лица, затворени производствени съоръжения, помещения и офиси (въз основа на сертификати и документи, представени от дружеството);</w:t>
            </w: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52" w:lineRule="auto"/>
              <w:ind w:left="0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 xml:space="preserve">Наличието на други обстоятелства, с които се установяват изпитваните от предприятията затруднения поради 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US" w:eastAsia="bg-BG"/>
              </w:rPr>
              <w:t>COVID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 xml:space="preserve">-19, съгласно приета от търговските банки методология, която се предоставя на ББР АД.   </w:t>
            </w:r>
          </w:p>
          <w:p w:rsidR="0061480C" w:rsidRPr="001B6BBF" w:rsidRDefault="0061480C" w:rsidP="006166EA">
            <w:pPr>
              <w:tabs>
                <w:tab w:val="left" w:pos="527"/>
              </w:tabs>
              <w:suppressAutoHyphens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widowControl w:val="0"/>
              <w:spacing w:line="274" w:lineRule="exact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Помощта може да бъде предоставяна по мярката само на предприятия, които не са били в затруднение по смисъла на Общия регламент за групово освобождаване (ОРГО), Регламента за групово освобождаване в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footnoteReference w:id="2"/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селското стопанство (ОРГО),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footnoteReference w:id="3"/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или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lastRenderedPageBreak/>
              <w:t>Регламент за групово освобождаване в областта на рибарството („Регламент за групово освобождаване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footnoteReference w:id="4"/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за риболова“) на 31 декември 2019 г. </w:t>
            </w:r>
          </w:p>
          <w:p w:rsidR="0061480C" w:rsidRPr="001B6BBF" w:rsidRDefault="0061480C" w:rsidP="006166EA">
            <w:pPr>
              <w:widowControl w:val="0"/>
              <w:spacing w:line="274" w:lineRule="exact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По изключение от горното изречение помощта  може да бъде предоставена на микро- или малки предприятия, които към 31 декември 2019 г. вече са били в затруднено положение, при условие че те не са обект на процедура по несъстоятелност, съгласно националното право и не са получили помощ за оздравяване или помощ за преструктуриране (има се предвид държавна помощ за оздравяване или преструктуриране);</w:t>
            </w:r>
          </w:p>
          <w:p w:rsidR="0061480C" w:rsidRPr="001B6BBF" w:rsidRDefault="0061480C" w:rsidP="00AD6547">
            <w:pPr>
              <w:widowControl w:val="0"/>
              <w:spacing w:line="274" w:lineRule="exact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При всички обстоятелства, помощта може да бъде предоставяна на предприятия, които са се сблъскали с трудности или са изпаднали в затруднение след 31.12.2019г. поради избухването на епидемията от COVID-19, съгласно критериите за допустимост, описани по-горе в настоящата точка.</w:t>
            </w:r>
          </w:p>
        </w:tc>
      </w:tr>
      <w:tr w:rsidR="0061480C" w:rsidRPr="001B6BBF" w:rsidTr="00CD7A2E">
        <w:trPr>
          <w:trHeight w:val="837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sz w:val="18"/>
                <w:szCs w:val="18"/>
              </w:rPr>
              <w:t>Гаранционни такси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Съгласно одобрението на ЕК и </w:t>
            </w:r>
            <w:r w:rsidRPr="001B6BBF">
              <w:rPr>
                <w:rFonts w:ascii="Verdana" w:hAnsi="Verdana"/>
                <w:sz w:val="18"/>
                <w:szCs w:val="18"/>
                <w:shd w:val="clear" w:color="auto" w:fill="FFFFFF"/>
              </w:rPr>
              <w:t>Временна рамка за мерки за държавна помощ в подкрепа на икономиката в условията на сегашния епидемичен взрив от COVID-19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6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Подпортфейли</w:t>
            </w:r>
          </w:p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Портфейл и контра-гаранция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7503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6BBF">
              <w:rPr>
                <w:rFonts w:ascii="Verdana" w:hAnsi="Verdana"/>
                <w:bCs/>
                <w:sz w:val="18"/>
                <w:szCs w:val="18"/>
              </w:rPr>
              <w:t>А</w:t>
            </w:r>
            <w:r w:rsidRPr="001B6BB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) </w:t>
            </w:r>
            <w:r w:rsidRPr="001B6BBF">
              <w:rPr>
                <w:rFonts w:ascii="Verdana" w:hAnsi="Verdana"/>
                <w:bCs/>
                <w:sz w:val="18"/>
                <w:szCs w:val="18"/>
              </w:rPr>
              <w:t>Под-портфейл със съществуващи кредити, спрямо които търговските банки могат да прилагат промени в схемите за плащане и да предоговарят.</w:t>
            </w: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6BBF">
              <w:rPr>
                <w:rFonts w:ascii="Verdana" w:hAnsi="Verdana"/>
                <w:bCs/>
                <w:sz w:val="18"/>
                <w:szCs w:val="18"/>
              </w:rPr>
              <w:t xml:space="preserve">В този под-портфейл могат да се включват кредити, отпуснати на допустими предприятия които изпитват затруднения по обслужването им след 31.12.2019 и това затруднение е последица от епидемията с </w:t>
            </w:r>
            <w:r w:rsidRPr="001B6BBF">
              <w:rPr>
                <w:rFonts w:ascii="Verdana" w:hAnsi="Verdana"/>
                <w:bCs/>
                <w:sz w:val="18"/>
                <w:szCs w:val="18"/>
                <w:lang w:val="en-US"/>
              </w:rPr>
              <w:t>COVID</w:t>
            </w:r>
            <w:r w:rsidRPr="001B6BBF">
              <w:rPr>
                <w:rFonts w:ascii="Verdana" w:hAnsi="Verdana"/>
                <w:bCs/>
                <w:sz w:val="18"/>
                <w:szCs w:val="18"/>
              </w:rPr>
              <w:t xml:space="preserve"> 19.</w:t>
            </w: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6BBF">
              <w:rPr>
                <w:rFonts w:ascii="Verdana" w:hAnsi="Verdana"/>
                <w:bCs/>
                <w:sz w:val="18"/>
                <w:szCs w:val="18"/>
              </w:rPr>
              <w:t>В под-портфейла могат да се включват кредити на предприятия, които не са били необслужвани, а кредитополучателят не е изпадал в просрочие над 90 дни за период от 12 месеца назад ( през 2019 г.).</w:t>
            </w: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6BBF">
              <w:rPr>
                <w:rFonts w:ascii="Verdana" w:hAnsi="Verdana"/>
                <w:bCs/>
                <w:sz w:val="18"/>
                <w:szCs w:val="18"/>
              </w:rPr>
              <w:t>Кредитополучателите са представили на финансиращата търговската банка прогнозни разчети и прогнозен план за  възстановяване на дейността си, за който не се изисква стриктно определена форма и реквизити.</w:t>
            </w:r>
          </w:p>
          <w:p w:rsidR="0061480C" w:rsidRPr="001B6BBF" w:rsidRDefault="0061480C" w:rsidP="006166EA">
            <w:pPr>
              <w:spacing w:line="252" w:lineRule="auto"/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left="116" w:right="149"/>
              <w:jc w:val="both"/>
              <w:rPr>
                <w:rFonts w:ascii="Verdana" w:hAnsi="Verdana"/>
                <w:sz w:val="18"/>
                <w:szCs w:val="18"/>
              </w:rPr>
            </w:pPr>
            <w:r w:rsidRPr="001B6BBF">
              <w:rPr>
                <w:rFonts w:ascii="Verdana" w:hAnsi="Verdana"/>
                <w:bCs/>
                <w:sz w:val="18"/>
                <w:szCs w:val="18"/>
              </w:rPr>
              <w:t>Мерките за промени в схемите на плащане включват до 3 месеца гратисен период за плащане на главница и/или лихва и за още до 3 месеца гратисен период за плащане на главница. Гратисният период за кредитите в този под-портфейл следва да изтича до 30.06.2021 г. включително</w:t>
            </w:r>
            <w:r w:rsidRPr="001B6BBF">
              <w:rPr>
                <w:rFonts w:ascii="Verdana" w:hAnsi="Verdana"/>
                <w:sz w:val="18"/>
                <w:szCs w:val="18"/>
              </w:rPr>
              <w:t>.</w:t>
            </w:r>
          </w:p>
          <w:p w:rsidR="0061480C" w:rsidRPr="001B6BBF" w:rsidRDefault="0061480C" w:rsidP="006166EA">
            <w:pPr>
              <w:spacing w:line="252" w:lineRule="auto"/>
              <w:ind w:left="116" w:right="149"/>
              <w:jc w:val="both"/>
              <w:rPr>
                <w:rFonts w:ascii="Verdana" w:hAnsi="Verdana"/>
                <w:sz w:val="18"/>
                <w:szCs w:val="18"/>
              </w:rPr>
            </w:pPr>
            <w:r w:rsidRPr="001B6BBF">
              <w:rPr>
                <w:rFonts w:ascii="Verdana" w:hAnsi="Verdana"/>
                <w:sz w:val="18"/>
                <w:szCs w:val="18"/>
              </w:rPr>
              <w:t xml:space="preserve">Б) Под-портфейл с нови кредити за инвестиционни и/или ликвидни нужди за оборотен капитал в това число за плащане на заплати, наеми, режийни разходи и др. разходи, пряко свързани със стопанската дейност на  предприятията.  </w:t>
            </w: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sz w:val="18"/>
                <w:szCs w:val="18"/>
              </w:rPr>
            </w:pPr>
            <w:r w:rsidRPr="001B6BBF">
              <w:rPr>
                <w:rFonts w:ascii="Verdana" w:hAnsi="Verdana"/>
                <w:sz w:val="18"/>
                <w:szCs w:val="18"/>
              </w:rPr>
              <w:t>Финансирането на инвестиционни нужди се извършва срещу предоставяне на одобрени от търговските банки разходооправдателни документи.</w:t>
            </w: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left="116" w:right="14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Рефинансиране на кредити не е допустимо.</w:t>
            </w:r>
          </w:p>
          <w:p w:rsidR="0061480C" w:rsidRPr="003F6FDD" w:rsidRDefault="0061480C" w:rsidP="006D5EF3">
            <w:pPr>
              <w:ind w:left="116" w:right="149"/>
              <w:jc w:val="both"/>
              <w:rPr>
                <w:rFonts w:ascii="Verdana" w:hAnsi="Verdana" w:cs="Calibri"/>
                <w:iCs/>
                <w:sz w:val="18"/>
                <w:szCs w:val="18"/>
                <w:lang w:eastAsia="zh-CN"/>
              </w:rPr>
            </w:pPr>
            <w:r w:rsidRPr="003F6FDD">
              <w:rPr>
                <w:rFonts w:ascii="Verdana" w:hAnsi="Verdana" w:cs="Calibri"/>
                <w:iCs/>
                <w:sz w:val="18"/>
                <w:szCs w:val="18"/>
                <w:lang w:eastAsia="zh-CN"/>
              </w:rPr>
              <w:t xml:space="preserve">Възможност за контрагаранция върху гарантираните от ББР АД портфейли по Програмата след сключване на споразумение между ББР АД и ЕИФ в рамките на Пан-европейския гаранционен фонд или на друга програма. </w:t>
            </w:r>
          </w:p>
          <w:p w:rsidR="0061480C" w:rsidRPr="001B6BBF" w:rsidRDefault="0061480C" w:rsidP="00AD6547">
            <w:pPr>
              <w:spacing w:line="252" w:lineRule="auto"/>
              <w:ind w:left="116" w:right="14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826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Обезпечение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after="240"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D5EF3">
            <w:pPr>
              <w:spacing w:after="240" w:line="252" w:lineRule="auto"/>
              <w:ind w:left="116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Намалени изисквания за обезпечение с максимален размер на предоставяните от Кредитополучателите  </w:t>
            </w:r>
            <w:r w:rsidRPr="001B6BBF">
              <w:rPr>
                <w:rFonts w:ascii="Verdana" w:hAnsi="Verdana" w:cs="Calibri"/>
                <w:b/>
                <w:sz w:val="18"/>
                <w:szCs w:val="18"/>
              </w:rPr>
              <w:t>вещни</w:t>
            </w:r>
            <w:r w:rsidRPr="001B6BBF">
              <w:rPr>
                <w:rFonts w:ascii="Verdana" w:hAnsi="Verdana" w:cs="Calibri"/>
                <w:sz w:val="18"/>
                <w:szCs w:val="18"/>
              </w:rPr>
              <w:t xml:space="preserve"> обезпечения в размер </w:t>
            </w:r>
            <w:r w:rsidRPr="001B6BBF">
              <w:rPr>
                <w:rFonts w:ascii="Verdana" w:hAnsi="Verdana" w:cs="Calibri"/>
                <w:b/>
                <w:sz w:val="18"/>
                <w:szCs w:val="18"/>
              </w:rPr>
              <w:t>до 50 %</w:t>
            </w:r>
            <w:r w:rsidRPr="001B6BBF">
              <w:rPr>
                <w:rFonts w:ascii="Verdana" w:hAnsi="Verdana" w:cs="Calibri"/>
                <w:sz w:val="18"/>
                <w:szCs w:val="18"/>
              </w:rPr>
              <w:t xml:space="preserve"> спрямо размера на финансирането; </w:t>
            </w:r>
          </w:p>
        </w:tc>
      </w:tr>
      <w:tr w:rsidR="0061480C" w:rsidRPr="001B6BBF" w:rsidTr="00CD7A2E">
        <w:trPr>
          <w:trHeight w:val="399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Плащане по гаранцията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Искането за плащане по Гаранция следва да е предявено в дванадесетмесечен срок от датата на настъпване на изискуемостта на Кредита в неговата цялост.</w:t>
            </w:r>
          </w:p>
          <w:p w:rsidR="0061480C" w:rsidRPr="001B6BBF" w:rsidRDefault="0061480C" w:rsidP="006166EA">
            <w:pPr>
              <w:suppressAutoHyphens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Предявяването на искането за плащането по гаранция се извършва при изпълнение на предвидените условия в гаранционните споразумения по Програмата и след инициирано от търговската банка производство по издаване на заповед за изпълнение и изпълнителен лист за вземането по гарантирания кредит/ предявяване на осъдителен иск за вземането по гарантирания кредит/ инициирано производство по несъстоятелност, в което е предявено гарантираното вземане и/или пристъпване към изпълнение по реда на Закона за особените залози спрямо обезпечението по гарантирания кредит.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Горните обстоятелства се удостоверяват пред ББР чрез представяне на съответните документи (което е конкретно приложимо):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а) Копие на входирано в съответния съд Заявление за издаване на заповед за изпълнение по чл. 410 от ГПК или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б) Копие на входирано в съответния съд копие от Заявление за издаване на заповед за незабавно изпълнение по чл. 417 от ГПК или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в) Копие на входирана в съответния съд искова молба по общия ред на ГПК срещу длъжника/ите (заверено от банката с „вярно с оригинала“), или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г) Копие на входирана в съответния съд молба за откриване на производство по несъстоятелност (заверено от банката с „вярно с оригинала“), или копие от входирана в съответния съд молба за присъединяване към вече открито производство по несъстоятелност (заверено от банката с „вярно с оригинала“). От молбата следва да е видно, че банката е предявила вземането си от длъжника, произтичащо от гарантирания по настоящата Програма кредит;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д) Копие от подадено заявление за вписване на пристъпване към изпълнение по Закона за особените залози спрямо заложеното обезпечение по гарантирания кредит.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При постъпило в последствие, в хипотезите на б.“а“ и б „б“ възражение по чл. 414 от ГПК, търговската банка предоставя на ББР АД и копие от предявения в срок иск (заверени от банката с „вярно с оригинала“)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По изключение, условията за предявяване на искане за плащане по гаранцията не се прилагат при смърт на едноличен търговец, търговец - физическо лице, чието предприятие не е поето от наследниците, както и на едноличния собственик на капитала на едноличното дружество</w:t>
            </w:r>
            <w:r w:rsidRPr="001B6BBF">
              <w:rPr>
                <w:rFonts w:ascii="Verdana" w:hAnsi="Verdana" w:cs="Calibri"/>
                <w:b/>
                <w:sz w:val="18"/>
                <w:szCs w:val="18"/>
              </w:rPr>
              <w:t xml:space="preserve"> с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ограничена отговорност  в случай че не е предвидено продължаване на дейността след смъртта му и няма наследници, които да поискат да продължат дейността и при установена от Банката липса на наследници по права линия/ съпруг, които са готови да поемат изплащането на Кредита, освен ако е налице обективна възможност Банката да се снабди с изпълнителен титул срещу солидарен длъжник/ поръчител по кредита. В този случай Банката се освобождава от задължението да се снабди с изпълнителен лист срещу починалото лице -  едноличен търговец.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При условията на предходния абзац, ББР АД извършва плащане на Гарантираната сума, след като Банката представи доказателства за смъртта на Кредитополучателя и за липсата на наследници по права линия/ съпруг, които са готови да продължат дейността на търговеца/ да поемат изплащането на Кредита, придружени от заверени копия на: договора за Кредит, ведно с всички анекси и приложения към него, извлечение от счетоводните книги на Банката, с което се установява задължението му по Кредита към момента на предявяване на Искането за плащане. Отказът на наследниците да изплащат кредита може да бъде установен с изявление от тях, като от  предоставените документи следва да е видно, че по Кредита няма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lastRenderedPageBreak/>
              <w:t>солидарен длъжник и/ или поръчител, срещу които Банката да се снабди с изпълнителен титул.</w:t>
            </w:r>
          </w:p>
        </w:tc>
      </w:tr>
      <w:tr w:rsidR="0061480C" w:rsidRPr="001B6BBF" w:rsidTr="00CD7A2E">
        <w:trPr>
          <w:trHeight w:val="399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Подкрепяни компании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Всички категории предприятия, осъществяващи стопанска дейност и регистрирани в България, които търпят неблагоприятни икономическите последици от разпространението на епидемията от 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lang w:val="en-GB"/>
              </w:rPr>
              <w:t>COVID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19, включително и големите предприятия</w:t>
            </w:r>
            <w:r w:rsidRPr="001B6BBF">
              <w:rPr>
                <w:rStyle w:val="alt2"/>
                <w:rFonts w:ascii="Verdana" w:hAnsi="Verdana"/>
                <w:bCs/>
                <w:sz w:val="18"/>
                <w:szCs w:val="18"/>
              </w:rPr>
              <w:t xml:space="preserve">, представляващи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търговски дружества, по смисъла на Търговския закон, които са извън предметния обхват на Закона за малките и средни предприятия.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227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Трансфер на ползите от гаранцията към крайните бенефициери</w:t>
            </w:r>
          </w:p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uppressAutoHyphens/>
              <w:ind w:left="116"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Търговските банки се задължават да осигурят прехвърляне на финансовото предимство от гаранцията към предприятията, както следва:</w:t>
            </w:r>
          </w:p>
          <w:p w:rsidR="0061480C" w:rsidRPr="001B6BBF" w:rsidRDefault="0061480C" w:rsidP="006166EA">
            <w:pPr>
              <w:suppressAutoHyphens/>
              <w:ind w:left="116"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302"/>
              </w:tabs>
              <w:ind w:left="116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</w:rPr>
              <w:t>предоставяне на кредити, с облекчени изисквания за обезпечение, изразяващи се в намаление с 50 % на изискваното обезпечение спрямо стандартните правила на търговската банка. При всички случаи размерът на вещното обезпечение следва да бъде в границите между 0 % и 50 %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bg-BG"/>
              </w:rPr>
              <w:t>,</w:t>
            </w:r>
            <w:r w:rsidRPr="003F6FDD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</w:p>
          <w:p w:rsidR="0061480C" w:rsidRPr="003F6FDD" w:rsidRDefault="0061480C" w:rsidP="006166EA">
            <w:pPr>
              <w:pStyle w:val="ListParagraph"/>
              <w:tabs>
                <w:tab w:val="left" w:pos="302"/>
              </w:tabs>
              <w:ind w:left="116"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</w:rPr>
              <w:t xml:space="preserve"> и </w:t>
            </w:r>
          </w:p>
          <w:p w:rsidR="0061480C" w:rsidRPr="003F6FDD" w:rsidRDefault="0061480C" w:rsidP="006166EA">
            <w:pPr>
              <w:pStyle w:val="ListParagraph"/>
              <w:spacing w:after="244" w:line="278" w:lineRule="exact"/>
              <w:ind w:left="116"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</w:rPr>
              <w:t xml:space="preserve">- предоставяне на кредити с намаление в приложимия лихвен процент, определен в съответствие с вътрешните правила на търговските банки, при минимален размер на намалението 0,8 % (80 б.т.) на годишна база. </w:t>
            </w:r>
          </w:p>
          <w:p w:rsidR="0061480C" w:rsidRPr="003F6FDD" w:rsidRDefault="0061480C" w:rsidP="006166EA">
            <w:pPr>
              <w:pStyle w:val="ListParagraph"/>
              <w:widowControl w:val="0"/>
              <w:tabs>
                <w:tab w:val="left" w:pos="302"/>
              </w:tabs>
              <w:spacing w:after="244" w:line="278" w:lineRule="exact"/>
              <w:ind w:left="116" w:right="136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1480C" w:rsidRPr="003F6FDD" w:rsidRDefault="0061480C" w:rsidP="00CD7A2E">
            <w:pPr>
              <w:pStyle w:val="ListParagraph"/>
              <w:widowControl w:val="0"/>
              <w:tabs>
                <w:tab w:val="left" w:pos="302"/>
              </w:tabs>
              <w:spacing w:after="244" w:line="278" w:lineRule="exact"/>
              <w:ind w:left="116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F6FDD">
              <w:rPr>
                <w:rFonts w:ascii="Verdana" w:hAnsi="Verdana" w:cs="Calibri"/>
                <w:sz w:val="18"/>
                <w:szCs w:val="18"/>
              </w:rPr>
              <w:t>Финансовият посредник следва да съхранява и да може да представи съответната документация, доказваща        прехвърлянето на предимството на клиента, и е задължен да информира клиента за полученото предимство в съответното кредитно споразумение.</w:t>
            </w:r>
          </w:p>
        </w:tc>
      </w:tr>
      <w:tr w:rsidR="0061480C" w:rsidRPr="001B6BBF" w:rsidTr="00CD7A2E">
        <w:trPr>
          <w:trHeight w:val="40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Del="002B0888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Докладване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Търговските банки докладват ежемесечно/тримесечно, до 20-то число на месеца, следващ отчетния период </w:t>
            </w:r>
          </w:p>
          <w:p w:rsidR="0061480C" w:rsidRPr="001B6BBF" w:rsidRDefault="0061480C" w:rsidP="00AD6547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1480C" w:rsidRPr="001B6BBF" w:rsidRDefault="0061480C" w:rsidP="00AD6547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ББР следва да извършва Мониторинг и докладване съгласно раздел 4 от Временната рамка </w:t>
            </w:r>
            <w:r w:rsidRPr="003F6FDD">
              <w:rPr>
                <w:rStyle w:val="Bodytext2Italic"/>
                <w:rFonts w:ascii="Verdana" w:hAnsi="Verdana" w:cs="Calibri"/>
                <w:sz w:val="18"/>
                <w:szCs w:val="18"/>
              </w:rPr>
              <w:t xml:space="preserve">(напр. </w:t>
            </w:r>
            <w:r w:rsidRPr="001B6BBF">
              <w:rPr>
                <w:rFonts w:ascii="Verdana" w:hAnsi="Verdana" w:cs="Calibri"/>
                <w:sz w:val="18"/>
                <w:szCs w:val="18"/>
              </w:rPr>
              <w:t>до 31 декември 2020 г. на Комисията трябва да бъде предоставен списък с мерки, въведени въз основа на схеми, одобрени съгласно временната рамка; подробна документация относно предоставянето на помощ трябва да се поддържа в продължение на 10 години след предоставянето на помощта), за което финансовите посредници следва да осигурят необходимата информация.</w:t>
            </w:r>
          </w:p>
        </w:tc>
      </w:tr>
      <w:tr w:rsidR="0061480C" w:rsidRPr="001B6BBF" w:rsidTr="00CD7A2E">
        <w:trPr>
          <w:trHeight w:val="40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Del="002B0888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Съхранение на документи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Документите по отпускането на кредити, покрити с гаранцията по тази Програма, следва да се съхраняват в срок до 10 години от датата на отпускане на последния кредит в съответния портфейл на търговската банка.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40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Del="002B0888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Публикуване на информация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pStyle w:val="Bodytext20"/>
              <w:shd w:val="clear" w:color="auto" w:fill="auto"/>
              <w:tabs>
                <w:tab w:val="left" w:pos="704"/>
              </w:tabs>
              <w:spacing w:after="246" w:line="274" w:lineRule="exact"/>
              <w:ind w:right="278" w:firstLine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ББР следва да публикува информация за предоставените гаранции съгласно ОРГО:  </w:t>
            </w:r>
          </w:p>
          <w:p w:rsidR="0061480C" w:rsidRPr="001B6BBF" w:rsidRDefault="00633C63" w:rsidP="00AD6547">
            <w:pPr>
              <w:pStyle w:val="Bodytext20"/>
              <w:shd w:val="clear" w:color="auto" w:fill="auto"/>
              <w:tabs>
                <w:tab w:val="left" w:pos="704"/>
              </w:tabs>
              <w:spacing w:after="246" w:line="274" w:lineRule="exact"/>
              <w:ind w:right="278" w:firstLine="0"/>
              <w:jc w:val="both"/>
              <w:rPr>
                <w:rFonts w:ascii="Verdana" w:hAnsi="Verdana" w:cs="Calibri"/>
                <w:sz w:val="18"/>
                <w:szCs w:val="18"/>
              </w:rPr>
            </w:pPr>
            <w:hyperlink r:id="rId7" w:history="1"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https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://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eur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-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lex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.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europa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.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eu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legal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-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content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EN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TXT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/?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uri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=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CELEX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:02014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R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0651-20170710</w:t>
              </w:r>
            </w:hyperlink>
            <w:r w:rsidR="0061480C" w:rsidRPr="001B6BBF"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  <w:p w:rsidR="0061480C" w:rsidRPr="001B6BBF" w:rsidRDefault="0061480C" w:rsidP="00AD6547">
            <w:pPr>
              <w:pStyle w:val="Bodytext20"/>
              <w:shd w:val="clear" w:color="auto" w:fill="auto"/>
              <w:tabs>
                <w:tab w:val="left" w:pos="704"/>
              </w:tabs>
              <w:spacing w:after="246" w:line="274" w:lineRule="exact"/>
              <w:ind w:right="278" w:firstLine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и да попълва Модула за прозрачност на държавните помощи на Европейската комисия</w:t>
            </w:r>
          </w:p>
          <w:p w:rsidR="0061480C" w:rsidRPr="001B6BBF" w:rsidRDefault="0061480C" w:rsidP="00AD6547">
            <w:pPr>
              <w:widowControl w:val="0"/>
              <w:tabs>
                <w:tab w:val="left" w:pos="704"/>
              </w:tabs>
              <w:spacing w:after="246" w:line="274" w:lineRule="exact"/>
              <w:ind w:right="278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(</w:t>
            </w:r>
            <w:hyperlink r:id="rId8" w:history="1">
              <w:r w:rsidRPr="001B6BBF">
                <w:rPr>
                  <w:rStyle w:val="Hyperlink"/>
                  <w:rFonts w:ascii="Verdana" w:hAnsi="Verdana" w:cs="Calibri"/>
                  <w:color w:val="auto"/>
                  <w:sz w:val="18"/>
                  <w:szCs w:val="18"/>
                </w:rPr>
                <w:t>https://webgate.ec.europa.eu/competition/transparency/</w:t>
              </w:r>
            </w:hyperlink>
          </w:p>
        </w:tc>
      </w:tr>
      <w:tr w:rsidR="0061480C" w:rsidRPr="001B6BBF" w:rsidTr="00CD7A2E">
        <w:trPr>
          <w:trHeight w:val="40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Del="002B0888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Кумулиране на помощта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widowControl w:val="0"/>
              <w:spacing w:after="240" w:line="274" w:lineRule="exact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bookmarkStart w:id="1" w:name="bookmark21"/>
            <w:r w:rsidRPr="001B6BBF">
              <w:rPr>
                <w:rFonts w:ascii="Verdana" w:hAnsi="Verdana" w:cs="Calibri"/>
                <w:sz w:val="18"/>
                <w:szCs w:val="18"/>
              </w:rPr>
              <w:t xml:space="preserve">Съгласно одобрението на Европейската комисия и правилата на  </w:t>
            </w:r>
            <w:bookmarkEnd w:id="1"/>
            <w:r w:rsidRPr="001B6BBF">
              <w:rPr>
                <w:rFonts w:ascii="Verdana" w:hAnsi="Verdana" w:cs="Calibri"/>
                <w:sz w:val="18"/>
                <w:szCs w:val="18"/>
              </w:rPr>
              <w:t>ВРЕМЕННАТА РАМКА</w:t>
            </w:r>
            <w:r w:rsidRPr="001B6BBF">
              <w:rPr>
                <w:rFonts w:ascii="Verdana" w:hAnsi="Verdana" w:cs="Calibri"/>
                <w:sz w:val="18"/>
                <w:szCs w:val="18"/>
                <w:lang w:val="hu-HU"/>
              </w:rPr>
              <w:t xml:space="preserve"> „COVID-19“</w:t>
            </w:r>
          </w:p>
        </w:tc>
      </w:tr>
      <w:tr w:rsidR="0061480C" w:rsidRPr="001B6BBF" w:rsidTr="00CD7A2E">
        <w:trPr>
          <w:trHeight w:val="40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Други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85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До участие в ползването на гаранцията се допускат всички търговски банки.</w:t>
            </w:r>
          </w:p>
          <w:p w:rsidR="0061480C" w:rsidRPr="001B6BBF" w:rsidRDefault="0061480C" w:rsidP="006166EA">
            <w:pPr>
              <w:spacing w:line="252" w:lineRule="auto"/>
              <w:ind w:left="85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ББР следва да сключи индивидуални споразумения с всяка от банките.</w:t>
            </w:r>
          </w:p>
          <w:p w:rsidR="0061480C" w:rsidRPr="001B6BBF" w:rsidRDefault="0061480C" w:rsidP="006166EA">
            <w:pPr>
              <w:spacing w:line="252" w:lineRule="auto"/>
              <w:ind w:left="85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left="85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Поне 60 % от формираните от всяка от търговските банки портфейли с кредити по Програмата трябва да са предоставени на МСП. </w:t>
            </w:r>
          </w:p>
          <w:p w:rsidR="0061480C" w:rsidRPr="001B6BBF" w:rsidRDefault="0061480C" w:rsidP="006166EA">
            <w:pPr>
              <w:spacing w:line="252" w:lineRule="auto"/>
              <w:ind w:left="85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В съответствие с Препоръка на ЕК от 14.07.2020 г. по тази Програма не може да се предоставя финансова подкрепа /гаранция/ на дружества, имащи връзки с държави, които са</w:t>
            </w:r>
            <w:r w:rsidRPr="001B6BBF">
              <w:rPr>
                <w:rFonts w:ascii="Verdana" w:hAnsi="Verdana"/>
                <w:color w:val="000000"/>
                <w:sz w:val="18"/>
                <w:szCs w:val="18"/>
              </w:rPr>
              <w:t xml:space="preserve"> включени в </w:t>
            </w:r>
            <w:hyperlink r:id="rId9" w:history="1">
              <w:r w:rsidRPr="001B6BBF">
                <w:rPr>
                  <w:rStyle w:val="Hyperlink"/>
                  <w:rFonts w:ascii="Verdana" w:hAnsi="Verdana"/>
                  <w:color w:val="004494"/>
                  <w:sz w:val="18"/>
                  <w:szCs w:val="18"/>
                </w:rPr>
                <w:t>списъка на ЕС с юрисдикциите, неоказващи съдействие за данъчни цели</w:t>
              </w:r>
            </w:hyperlink>
            <w:r w:rsidRPr="001B6BBF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  <w:r w:rsidRPr="001B6BBF">
              <w:rPr>
                <w:rFonts w:ascii="Verdana" w:hAnsi="Verdana" w:cs="Calibri"/>
                <w:sz w:val="18"/>
                <w:szCs w:val="18"/>
              </w:rPr>
              <w:t>Същото ограничение важи и за дружества/лица, които са били осъдени за тежки финансови престъпления, сред които, наред с другото, финансови измами, корупция, неплащане на данъчни и на социалноосигурителни задължения.</w:t>
            </w:r>
          </w:p>
          <w:p w:rsidR="0061480C" w:rsidRPr="001B6BBF" w:rsidRDefault="00633C63" w:rsidP="006166EA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https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://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ec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.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europa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.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eu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taxation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_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customs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sites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taxation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files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recommendation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_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state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_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aid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_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tax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_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havens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.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pdf</w:t>
              </w:r>
            </w:hyperlink>
          </w:p>
          <w:p w:rsidR="0061480C" w:rsidRPr="001B6BBF" w:rsidRDefault="0061480C" w:rsidP="006166EA">
            <w:pPr>
              <w:rPr>
                <w:rFonts w:ascii="Verdana" w:hAnsi="Verdana"/>
                <w:sz w:val="18"/>
                <w:szCs w:val="18"/>
              </w:rPr>
            </w:pPr>
          </w:p>
          <w:p w:rsidR="0061480C" w:rsidRPr="001B6BBF" w:rsidRDefault="0061480C" w:rsidP="00CD7A2E">
            <w:pPr>
              <w:spacing w:line="252" w:lineRule="auto"/>
              <w:ind w:right="136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Настоящите Рамкови условия на Програмата могат да бъде допълвани, включително ако акт на държавен или общностен орган (ЕК), или приложими регулации или споразумения за контра-гаранция налагат това.</w:t>
            </w:r>
          </w:p>
        </w:tc>
      </w:tr>
    </w:tbl>
    <w:p w:rsidR="0061480C" w:rsidRPr="003F6FDD" w:rsidRDefault="0061480C" w:rsidP="0001659F">
      <w:pPr>
        <w:spacing w:after="120" w:line="276" w:lineRule="auto"/>
        <w:ind w:left="567" w:firstLine="1077"/>
        <w:jc w:val="both"/>
        <w:rPr>
          <w:rFonts w:ascii="Verdana" w:hAnsi="Verdana" w:cs="Calibri"/>
          <w:sz w:val="18"/>
          <w:szCs w:val="18"/>
        </w:rPr>
      </w:pPr>
    </w:p>
    <w:p w:rsidR="0061480C" w:rsidRPr="003F6FDD" w:rsidRDefault="0061480C" w:rsidP="0001659F">
      <w:pPr>
        <w:spacing w:after="120" w:line="276" w:lineRule="auto"/>
        <w:jc w:val="both"/>
        <w:rPr>
          <w:rFonts w:ascii="Verdana" w:hAnsi="Verdana" w:cs="Calibri"/>
          <w:sz w:val="18"/>
          <w:szCs w:val="18"/>
          <w:lang w:val="en-US" w:eastAsia="en-US"/>
        </w:rPr>
      </w:pPr>
    </w:p>
    <w:sectPr w:rsidR="0061480C" w:rsidRPr="003F6FDD" w:rsidSect="00990392">
      <w:footerReference w:type="default" r:id="rId11"/>
      <w:pgSz w:w="16838" w:h="11906" w:orient="landscape"/>
      <w:pgMar w:top="1417" w:right="536" w:bottom="70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C9" w:rsidRDefault="000775C9" w:rsidP="00396C51">
      <w:r>
        <w:separator/>
      </w:r>
    </w:p>
  </w:endnote>
  <w:endnote w:type="continuationSeparator" w:id="0">
    <w:p w:rsidR="000775C9" w:rsidRDefault="000775C9" w:rsidP="0039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0C" w:rsidRPr="00AD6547" w:rsidRDefault="0061480C">
    <w:pPr>
      <w:pStyle w:val="Footer"/>
      <w:pBdr>
        <w:top w:val="single" w:sz="4" w:space="1" w:color="D9D9D9"/>
      </w:pBdr>
      <w:jc w:val="right"/>
      <w:rPr>
        <w:rFonts w:ascii="Verdana" w:hAnsi="Verdana"/>
        <w:sz w:val="14"/>
        <w:szCs w:val="14"/>
      </w:rPr>
    </w:pPr>
    <w:r w:rsidRPr="00AD6547">
      <w:rPr>
        <w:rFonts w:ascii="Verdana" w:hAnsi="Verdana"/>
        <w:sz w:val="14"/>
        <w:szCs w:val="14"/>
      </w:rPr>
      <w:fldChar w:fldCharType="begin"/>
    </w:r>
    <w:r w:rsidRPr="00AD6547">
      <w:rPr>
        <w:rFonts w:ascii="Verdana" w:hAnsi="Verdana"/>
        <w:sz w:val="14"/>
        <w:szCs w:val="14"/>
      </w:rPr>
      <w:instrText xml:space="preserve"> PAGE   \* MERGEFORMAT </w:instrText>
    </w:r>
    <w:r w:rsidRPr="00AD6547">
      <w:rPr>
        <w:rFonts w:ascii="Verdana" w:hAnsi="Verdana"/>
        <w:sz w:val="14"/>
        <w:szCs w:val="14"/>
      </w:rPr>
      <w:fldChar w:fldCharType="separate"/>
    </w:r>
    <w:r w:rsidR="00EB7A43">
      <w:rPr>
        <w:rFonts w:ascii="Verdana" w:hAnsi="Verdana"/>
        <w:noProof/>
        <w:sz w:val="14"/>
        <w:szCs w:val="14"/>
      </w:rPr>
      <w:t>1</w:t>
    </w:r>
    <w:r w:rsidRPr="00AD6547">
      <w:rPr>
        <w:rFonts w:ascii="Verdana" w:hAnsi="Verdana"/>
        <w:sz w:val="14"/>
        <w:szCs w:val="14"/>
      </w:rPr>
      <w:fldChar w:fldCharType="end"/>
    </w:r>
    <w:r w:rsidRPr="00AD6547">
      <w:rPr>
        <w:rFonts w:ascii="Verdana" w:hAnsi="Verdana"/>
        <w:sz w:val="14"/>
        <w:szCs w:val="14"/>
      </w:rPr>
      <w:t xml:space="preserve"> | Програма</w:t>
    </w:r>
  </w:p>
  <w:p w:rsidR="0061480C" w:rsidRDefault="0061480C" w:rsidP="001C2F8B">
    <w:pPr>
      <w:pStyle w:val="Footer"/>
      <w:tabs>
        <w:tab w:val="clear" w:pos="4536"/>
        <w:tab w:val="clear" w:pos="9072"/>
        <w:tab w:val="left" w:pos="132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C9" w:rsidRDefault="000775C9" w:rsidP="00396C51">
      <w:r>
        <w:separator/>
      </w:r>
    </w:p>
  </w:footnote>
  <w:footnote w:type="continuationSeparator" w:id="0">
    <w:p w:rsidR="000775C9" w:rsidRDefault="000775C9" w:rsidP="00396C51">
      <w:r>
        <w:continuationSeparator/>
      </w:r>
    </w:p>
  </w:footnote>
  <w:footnote w:id="1">
    <w:p w:rsidR="0061480C" w:rsidRDefault="0061480C" w:rsidP="006166EA">
      <w:pPr>
        <w:pStyle w:val="Footnote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541"/>
        </w:tabs>
      </w:pPr>
      <w:r>
        <w:rPr>
          <w:rStyle w:val="FootnoteCharacters"/>
        </w:rPr>
        <w:footnoteRef/>
      </w:r>
      <w:r>
        <w:tab/>
      </w:r>
      <w:r w:rsidRPr="0048600C">
        <w:rPr>
          <w:rFonts w:ascii="Verdana" w:hAnsi="Verdana"/>
          <w:sz w:val="18"/>
          <w:szCs w:val="18"/>
        </w:rPr>
        <w:t xml:space="preserve">Планът за ликвидност може да включва както оборотния капитал, така и инвестиционните разходи. </w:t>
      </w:r>
      <w:r>
        <w:rPr>
          <w:rFonts w:ascii="Verdana" w:hAnsi="Verdana"/>
          <w:sz w:val="18"/>
          <w:szCs w:val="18"/>
        </w:rPr>
        <w:tab/>
      </w:r>
    </w:p>
  </w:footnote>
  <w:footnote w:id="2">
    <w:p w:rsidR="0061480C" w:rsidRDefault="0061480C" w:rsidP="006166EA">
      <w:pPr>
        <w:pStyle w:val="Footnote10"/>
        <w:shd w:val="clear" w:color="auto" w:fill="auto"/>
        <w:tabs>
          <w:tab w:val="left" w:pos="426"/>
        </w:tabs>
        <w:spacing w:line="230" w:lineRule="exact"/>
        <w:ind w:left="380"/>
        <w:jc w:val="both"/>
      </w:pPr>
      <w:r w:rsidRPr="00B92E5E">
        <w:rPr>
          <w:sz w:val="12"/>
          <w:szCs w:val="12"/>
          <w:vertAlign w:val="superscript"/>
        </w:rPr>
        <w:footnoteRef/>
      </w:r>
      <w:r w:rsidRPr="00B92E5E">
        <w:rPr>
          <w:sz w:val="12"/>
          <w:szCs w:val="12"/>
        </w:rPr>
        <w:tab/>
      </w:r>
      <w:r w:rsidRPr="00B92E5E">
        <w:rPr>
          <w:rFonts w:ascii="Verdana" w:hAnsi="Verdana" w:cs="Calibri"/>
          <w:sz w:val="12"/>
          <w:szCs w:val="12"/>
        </w:rPr>
        <w:t>Както е определено в член 2, параграф 18 от Регламент (ЕС) № 651/2014 на Комисията от 17 юни 2014 г. относно деклариране на някои категории помощи за съвместими с вътрешния пазар в приложение на членове 107 и 108 от Договора, ОВ L 187, 26.6.2014 г., стр. 1.</w:t>
      </w:r>
    </w:p>
  </w:footnote>
  <w:footnote w:id="3">
    <w:p w:rsidR="0061480C" w:rsidRDefault="0061480C" w:rsidP="006166EA">
      <w:pPr>
        <w:pStyle w:val="Footnote10"/>
        <w:shd w:val="clear" w:color="auto" w:fill="auto"/>
        <w:tabs>
          <w:tab w:val="left" w:pos="426"/>
        </w:tabs>
        <w:spacing w:line="230" w:lineRule="exact"/>
        <w:ind w:left="380"/>
        <w:jc w:val="both"/>
      </w:pPr>
      <w:r w:rsidRPr="00B92E5E">
        <w:rPr>
          <w:rFonts w:ascii="Verdana" w:hAnsi="Verdana" w:cs="Calibri"/>
          <w:sz w:val="12"/>
          <w:szCs w:val="12"/>
          <w:vertAlign w:val="superscript"/>
        </w:rPr>
        <w:footnoteRef/>
      </w:r>
      <w:r w:rsidRPr="00B92E5E">
        <w:rPr>
          <w:rFonts w:ascii="Verdana" w:hAnsi="Verdana" w:cs="Calibri"/>
          <w:sz w:val="12"/>
          <w:szCs w:val="12"/>
        </w:rPr>
        <w:tab/>
      </w:r>
      <w:r w:rsidRPr="00B92E5E">
        <w:rPr>
          <w:rFonts w:ascii="Verdana" w:hAnsi="Verdana" w:cs="Calibri"/>
          <w:sz w:val="12"/>
          <w:szCs w:val="12"/>
        </w:rPr>
        <w:t>Както е определено в член 2, параграф 14 от Регламент (ЕС) № 702/2014 на Комисията от 25 юни 2014 г.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Договора, ОВ L 193, 1.7.2014 г., стр. 1.</w:t>
      </w:r>
    </w:p>
  </w:footnote>
  <w:footnote w:id="4">
    <w:p w:rsidR="0061480C" w:rsidRDefault="0061480C" w:rsidP="006166EA">
      <w:pPr>
        <w:pStyle w:val="Footnote10"/>
        <w:shd w:val="clear" w:color="auto" w:fill="auto"/>
        <w:tabs>
          <w:tab w:val="left" w:pos="426"/>
        </w:tabs>
        <w:spacing w:line="230" w:lineRule="exact"/>
        <w:ind w:left="380"/>
        <w:jc w:val="both"/>
      </w:pPr>
      <w:r w:rsidRPr="00B92E5E">
        <w:rPr>
          <w:rFonts w:ascii="Verdana" w:hAnsi="Verdana" w:cs="Calibri"/>
          <w:sz w:val="12"/>
          <w:szCs w:val="12"/>
          <w:vertAlign w:val="superscript"/>
        </w:rPr>
        <w:footnoteRef/>
      </w:r>
      <w:r w:rsidRPr="00B92E5E">
        <w:rPr>
          <w:rFonts w:ascii="Verdana" w:hAnsi="Verdana" w:cs="Calibri"/>
          <w:sz w:val="12"/>
          <w:szCs w:val="12"/>
        </w:rPr>
        <w:tab/>
      </w:r>
      <w:r w:rsidRPr="00B92E5E">
        <w:rPr>
          <w:rFonts w:ascii="Verdana" w:hAnsi="Verdana" w:cs="Calibri"/>
          <w:sz w:val="12"/>
          <w:szCs w:val="12"/>
        </w:rPr>
        <w:t>Както е определено в член 3, параграф 5 от Регламент (ЕС) № 1388/2014 на Комисията от 16 декември 2014 г. относно деклариране на някои категории помощи за предприятия, занимаващи се с производство, преработка и предлагане на пазара на продукти от риболов и аквакултури, които са съвместими с вътрешния пазар в приложение на членове 107 и 108 от Договора, ОВ L 369 от 24 декември 2014 г., стр. 37.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8"/>
    <w:multiLevelType w:val="multilevel"/>
    <w:tmpl w:val="25A20C5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76" w:hanging="47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53" w:hanging="47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29" w:hanging="476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24"/>
    <w:lvl w:ilvl="0">
      <w:start w:val="1"/>
      <w:numFmt w:val="decimal"/>
      <w:pStyle w:val="NoSpacing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11FF05EB"/>
    <w:multiLevelType w:val="hybridMultilevel"/>
    <w:tmpl w:val="FBF8DF7E"/>
    <w:lvl w:ilvl="0" w:tplc="5E0EBD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55D3"/>
    <w:multiLevelType w:val="multilevel"/>
    <w:tmpl w:val="7A989B0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9B4B5E"/>
    <w:multiLevelType w:val="hybridMultilevel"/>
    <w:tmpl w:val="E47CAF1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401647C"/>
    <w:multiLevelType w:val="multilevel"/>
    <w:tmpl w:val="73ECC424"/>
    <w:lvl w:ilvl="0">
      <w:start w:val="1"/>
      <w:numFmt w:val="decimal"/>
      <w:pStyle w:val="LegalNumPar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71EE0C67"/>
    <w:multiLevelType w:val="multilevel"/>
    <w:tmpl w:val="078A72A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523"/>
    <w:rsid w:val="0000241C"/>
    <w:rsid w:val="0001659F"/>
    <w:rsid w:val="00017713"/>
    <w:rsid w:val="0002569A"/>
    <w:rsid w:val="00037DBC"/>
    <w:rsid w:val="00050A58"/>
    <w:rsid w:val="000775C9"/>
    <w:rsid w:val="00084F7E"/>
    <w:rsid w:val="000940EA"/>
    <w:rsid w:val="00095C89"/>
    <w:rsid w:val="000A63F0"/>
    <w:rsid w:val="000D14E6"/>
    <w:rsid w:val="000D3433"/>
    <w:rsid w:val="000D4078"/>
    <w:rsid w:val="000F0FC4"/>
    <w:rsid w:val="001036A1"/>
    <w:rsid w:val="0011097F"/>
    <w:rsid w:val="00132446"/>
    <w:rsid w:val="00157BB4"/>
    <w:rsid w:val="00166CFD"/>
    <w:rsid w:val="001800BF"/>
    <w:rsid w:val="00186EB9"/>
    <w:rsid w:val="00191AF8"/>
    <w:rsid w:val="001A07DB"/>
    <w:rsid w:val="001A4EA8"/>
    <w:rsid w:val="001B6BBF"/>
    <w:rsid w:val="001C08C9"/>
    <w:rsid w:val="001C2F8B"/>
    <w:rsid w:val="001C6EC5"/>
    <w:rsid w:val="001C7A6E"/>
    <w:rsid w:val="001D0323"/>
    <w:rsid w:val="001D3121"/>
    <w:rsid w:val="001E0C63"/>
    <w:rsid w:val="001E7F56"/>
    <w:rsid w:val="001F6221"/>
    <w:rsid w:val="00200F78"/>
    <w:rsid w:val="00227CFC"/>
    <w:rsid w:val="00232C19"/>
    <w:rsid w:val="00242B95"/>
    <w:rsid w:val="00256743"/>
    <w:rsid w:val="00257595"/>
    <w:rsid w:val="00270337"/>
    <w:rsid w:val="00271625"/>
    <w:rsid w:val="00273D59"/>
    <w:rsid w:val="00287910"/>
    <w:rsid w:val="002B0888"/>
    <w:rsid w:val="002D4E7F"/>
    <w:rsid w:val="002E5F83"/>
    <w:rsid w:val="002F7B54"/>
    <w:rsid w:val="003003FD"/>
    <w:rsid w:val="003078B9"/>
    <w:rsid w:val="00315355"/>
    <w:rsid w:val="00315ADB"/>
    <w:rsid w:val="00315BAE"/>
    <w:rsid w:val="003217A1"/>
    <w:rsid w:val="00334CF8"/>
    <w:rsid w:val="003511F9"/>
    <w:rsid w:val="0035238E"/>
    <w:rsid w:val="00367219"/>
    <w:rsid w:val="00394847"/>
    <w:rsid w:val="00396762"/>
    <w:rsid w:val="00396C51"/>
    <w:rsid w:val="003B0B87"/>
    <w:rsid w:val="003B4592"/>
    <w:rsid w:val="003C4E51"/>
    <w:rsid w:val="003E5B1A"/>
    <w:rsid w:val="003F4334"/>
    <w:rsid w:val="003F6FDD"/>
    <w:rsid w:val="00400B01"/>
    <w:rsid w:val="0040117B"/>
    <w:rsid w:val="004237A4"/>
    <w:rsid w:val="00424594"/>
    <w:rsid w:val="004419AB"/>
    <w:rsid w:val="00442062"/>
    <w:rsid w:val="00450423"/>
    <w:rsid w:val="00450733"/>
    <w:rsid w:val="00466A70"/>
    <w:rsid w:val="0047710A"/>
    <w:rsid w:val="0048600C"/>
    <w:rsid w:val="004A63DF"/>
    <w:rsid w:val="004B395F"/>
    <w:rsid w:val="004E1C5C"/>
    <w:rsid w:val="004E6E72"/>
    <w:rsid w:val="00503C74"/>
    <w:rsid w:val="00522DEE"/>
    <w:rsid w:val="00526042"/>
    <w:rsid w:val="00532A9A"/>
    <w:rsid w:val="00556984"/>
    <w:rsid w:val="005651B8"/>
    <w:rsid w:val="005A579A"/>
    <w:rsid w:val="005A650A"/>
    <w:rsid w:val="005B12B6"/>
    <w:rsid w:val="005C2816"/>
    <w:rsid w:val="005D0A5F"/>
    <w:rsid w:val="005D47F4"/>
    <w:rsid w:val="0060526B"/>
    <w:rsid w:val="0061480C"/>
    <w:rsid w:val="006166EA"/>
    <w:rsid w:val="00621174"/>
    <w:rsid w:val="0062780C"/>
    <w:rsid w:val="00633C63"/>
    <w:rsid w:val="006412E8"/>
    <w:rsid w:val="00650869"/>
    <w:rsid w:val="006714B3"/>
    <w:rsid w:val="0067683B"/>
    <w:rsid w:val="006813F4"/>
    <w:rsid w:val="00683034"/>
    <w:rsid w:val="00685756"/>
    <w:rsid w:val="00695592"/>
    <w:rsid w:val="006A071F"/>
    <w:rsid w:val="006A1914"/>
    <w:rsid w:val="006B498A"/>
    <w:rsid w:val="006B5E79"/>
    <w:rsid w:val="006C133F"/>
    <w:rsid w:val="006D47F3"/>
    <w:rsid w:val="006D5EF3"/>
    <w:rsid w:val="006F0E39"/>
    <w:rsid w:val="006F4B37"/>
    <w:rsid w:val="007025C2"/>
    <w:rsid w:val="00707BBD"/>
    <w:rsid w:val="007622FA"/>
    <w:rsid w:val="00764468"/>
    <w:rsid w:val="00765BC2"/>
    <w:rsid w:val="0076690C"/>
    <w:rsid w:val="00776D6B"/>
    <w:rsid w:val="00777EE3"/>
    <w:rsid w:val="00784E8B"/>
    <w:rsid w:val="0079011F"/>
    <w:rsid w:val="007A621B"/>
    <w:rsid w:val="007D7BEF"/>
    <w:rsid w:val="007E485C"/>
    <w:rsid w:val="007E49A0"/>
    <w:rsid w:val="00803931"/>
    <w:rsid w:val="008333D4"/>
    <w:rsid w:val="00856A65"/>
    <w:rsid w:val="008705EC"/>
    <w:rsid w:val="00897A1E"/>
    <w:rsid w:val="008A00ED"/>
    <w:rsid w:val="008B0171"/>
    <w:rsid w:val="008D0565"/>
    <w:rsid w:val="008D0F3C"/>
    <w:rsid w:val="008D26AF"/>
    <w:rsid w:val="008D6E26"/>
    <w:rsid w:val="008E5427"/>
    <w:rsid w:val="008E6EB7"/>
    <w:rsid w:val="008F63B8"/>
    <w:rsid w:val="00906DE3"/>
    <w:rsid w:val="00914AA0"/>
    <w:rsid w:val="0093032B"/>
    <w:rsid w:val="00930A2C"/>
    <w:rsid w:val="009400C6"/>
    <w:rsid w:val="009425B9"/>
    <w:rsid w:val="0095049F"/>
    <w:rsid w:val="0096129D"/>
    <w:rsid w:val="009659FC"/>
    <w:rsid w:val="00965CB2"/>
    <w:rsid w:val="009671DF"/>
    <w:rsid w:val="009754E3"/>
    <w:rsid w:val="00990392"/>
    <w:rsid w:val="00994A71"/>
    <w:rsid w:val="009A715A"/>
    <w:rsid w:val="009B1169"/>
    <w:rsid w:val="009C6B78"/>
    <w:rsid w:val="009D1C9F"/>
    <w:rsid w:val="009D33E7"/>
    <w:rsid w:val="009D49D8"/>
    <w:rsid w:val="009E6C7B"/>
    <w:rsid w:val="009E750F"/>
    <w:rsid w:val="00A138F1"/>
    <w:rsid w:val="00A3105C"/>
    <w:rsid w:val="00A33A59"/>
    <w:rsid w:val="00A64707"/>
    <w:rsid w:val="00A647CE"/>
    <w:rsid w:val="00A66FA8"/>
    <w:rsid w:val="00A7503F"/>
    <w:rsid w:val="00A8734E"/>
    <w:rsid w:val="00A91B99"/>
    <w:rsid w:val="00AA2456"/>
    <w:rsid w:val="00AB6FD4"/>
    <w:rsid w:val="00AC6A57"/>
    <w:rsid w:val="00AD6547"/>
    <w:rsid w:val="00AF5450"/>
    <w:rsid w:val="00B253AF"/>
    <w:rsid w:val="00B2614E"/>
    <w:rsid w:val="00B41C76"/>
    <w:rsid w:val="00B446EB"/>
    <w:rsid w:val="00B45ADB"/>
    <w:rsid w:val="00B46523"/>
    <w:rsid w:val="00B5214B"/>
    <w:rsid w:val="00B63681"/>
    <w:rsid w:val="00B81630"/>
    <w:rsid w:val="00B83B5F"/>
    <w:rsid w:val="00B90816"/>
    <w:rsid w:val="00B92E5E"/>
    <w:rsid w:val="00BA0928"/>
    <w:rsid w:val="00BA72A3"/>
    <w:rsid w:val="00BB2113"/>
    <w:rsid w:val="00BD130C"/>
    <w:rsid w:val="00BD5977"/>
    <w:rsid w:val="00BE498B"/>
    <w:rsid w:val="00C030F5"/>
    <w:rsid w:val="00C21CFB"/>
    <w:rsid w:val="00C21D12"/>
    <w:rsid w:val="00C35E51"/>
    <w:rsid w:val="00C4165B"/>
    <w:rsid w:val="00C44EB8"/>
    <w:rsid w:val="00C558AF"/>
    <w:rsid w:val="00C63538"/>
    <w:rsid w:val="00C649ED"/>
    <w:rsid w:val="00C67D91"/>
    <w:rsid w:val="00C86260"/>
    <w:rsid w:val="00C91007"/>
    <w:rsid w:val="00CA0802"/>
    <w:rsid w:val="00CA377D"/>
    <w:rsid w:val="00CB42FB"/>
    <w:rsid w:val="00CC490A"/>
    <w:rsid w:val="00CD7A2E"/>
    <w:rsid w:val="00D14DE7"/>
    <w:rsid w:val="00D1521B"/>
    <w:rsid w:val="00D37444"/>
    <w:rsid w:val="00D60B11"/>
    <w:rsid w:val="00D705E7"/>
    <w:rsid w:val="00D7651C"/>
    <w:rsid w:val="00D76DA6"/>
    <w:rsid w:val="00DB073D"/>
    <w:rsid w:val="00DC0C54"/>
    <w:rsid w:val="00DD605E"/>
    <w:rsid w:val="00DE58D7"/>
    <w:rsid w:val="00DE5EB4"/>
    <w:rsid w:val="00DF7BBB"/>
    <w:rsid w:val="00E00E96"/>
    <w:rsid w:val="00E0742D"/>
    <w:rsid w:val="00E13EC3"/>
    <w:rsid w:val="00E22EC7"/>
    <w:rsid w:val="00E36DBC"/>
    <w:rsid w:val="00E676E3"/>
    <w:rsid w:val="00E94631"/>
    <w:rsid w:val="00EA194C"/>
    <w:rsid w:val="00EA22D2"/>
    <w:rsid w:val="00EA2B13"/>
    <w:rsid w:val="00EA6F26"/>
    <w:rsid w:val="00EB3623"/>
    <w:rsid w:val="00EB4126"/>
    <w:rsid w:val="00EB7A43"/>
    <w:rsid w:val="00ED2B7D"/>
    <w:rsid w:val="00ED7E53"/>
    <w:rsid w:val="00ED7F24"/>
    <w:rsid w:val="00EE46E4"/>
    <w:rsid w:val="00F11112"/>
    <w:rsid w:val="00F262F9"/>
    <w:rsid w:val="00F45A25"/>
    <w:rsid w:val="00F4601F"/>
    <w:rsid w:val="00F50520"/>
    <w:rsid w:val="00F82A01"/>
    <w:rsid w:val="00F91DA1"/>
    <w:rsid w:val="00F94543"/>
    <w:rsid w:val="00F94CA9"/>
    <w:rsid w:val="00FA0B0A"/>
    <w:rsid w:val="00FA169F"/>
    <w:rsid w:val="00FA1A2D"/>
    <w:rsid w:val="00FA2B98"/>
    <w:rsid w:val="00FB7B8C"/>
    <w:rsid w:val="00FC4B30"/>
    <w:rsid w:val="00FD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Calibri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23"/>
    <w:rPr>
      <w:rFonts w:ascii="Calibri" w:hAnsi="Calibri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3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036A1"/>
    <w:rPr>
      <w:rFonts w:ascii="Segoe UI" w:hAnsi="Segoe UI" w:cs="Segoe UI"/>
      <w:sz w:val="18"/>
      <w:szCs w:val="18"/>
      <w:lang w:eastAsia="bg-BG"/>
    </w:rPr>
  </w:style>
  <w:style w:type="character" w:customStyle="1" w:styleId="FootnoteCharacters">
    <w:name w:val="Footnote Characters"/>
    <w:uiPriority w:val="99"/>
    <w:rsid w:val="00396C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6C51"/>
    <w:pPr>
      <w:suppressAutoHyphens/>
    </w:pPr>
    <w:rPr>
      <w:rFonts w:ascii="Times New Roman" w:eastAsia="Times New Roman" w:hAnsi="Times New Roman"/>
      <w:sz w:val="20"/>
      <w:szCs w:val="20"/>
      <w:lang w:val="hu-HU" w:eastAsia="zh-CN"/>
    </w:rPr>
  </w:style>
  <w:style w:type="character" w:customStyle="1" w:styleId="FootnoteTextChar">
    <w:name w:val="Footnote Text Char"/>
    <w:link w:val="FootnoteText"/>
    <w:uiPriority w:val="99"/>
    <w:locked/>
    <w:rsid w:val="00396C51"/>
    <w:rPr>
      <w:rFonts w:ascii="Times New Roman" w:hAnsi="Times New Roman" w:cs="Times New Roman"/>
      <w:sz w:val="20"/>
      <w:szCs w:val="20"/>
      <w:lang w:val="hu-HU" w:eastAsia="zh-CN"/>
    </w:rPr>
  </w:style>
  <w:style w:type="paragraph" w:customStyle="1" w:styleId="LegalNumPar3">
    <w:name w:val="LegalNumPar3"/>
    <w:basedOn w:val="Normal"/>
    <w:uiPriority w:val="99"/>
    <w:rsid w:val="00396C51"/>
    <w:pPr>
      <w:numPr>
        <w:numId w:val="5"/>
      </w:numPr>
      <w:tabs>
        <w:tab w:val="clear" w:pos="720"/>
        <w:tab w:val="num" w:pos="360"/>
      </w:tabs>
      <w:suppressAutoHyphens/>
      <w:spacing w:after="200" w:line="360" w:lineRule="auto"/>
      <w:ind w:left="0" w:firstLine="0"/>
      <w:jc w:val="both"/>
    </w:pPr>
    <w:rPr>
      <w:sz w:val="24"/>
      <w:lang w:val="en-GB" w:eastAsia="zh-CN"/>
    </w:rPr>
  </w:style>
  <w:style w:type="paragraph" w:styleId="NoSpacing">
    <w:name w:val="No Spacing"/>
    <w:basedOn w:val="Normal"/>
    <w:uiPriority w:val="99"/>
    <w:qFormat/>
    <w:rsid w:val="00396C51"/>
    <w:pPr>
      <w:numPr>
        <w:numId w:val="4"/>
      </w:numPr>
      <w:suppressAutoHyphens/>
      <w:spacing w:after="200"/>
      <w:ind w:left="720" w:firstLine="0"/>
      <w:jc w:val="both"/>
    </w:pPr>
    <w:rPr>
      <w:rFonts w:ascii="Times New Roman" w:hAnsi="Times New Roman"/>
      <w:sz w:val="24"/>
      <w:lang w:val="en-IE" w:eastAsia="zh-CN"/>
    </w:rPr>
  </w:style>
  <w:style w:type="paragraph" w:customStyle="1" w:styleId="LegalNumPar">
    <w:name w:val="LegalNumPar"/>
    <w:basedOn w:val="Normal"/>
    <w:uiPriority w:val="99"/>
    <w:rsid w:val="002B0888"/>
    <w:pPr>
      <w:tabs>
        <w:tab w:val="num" w:pos="720"/>
      </w:tabs>
      <w:suppressAutoHyphens/>
      <w:spacing w:after="200" w:line="360" w:lineRule="auto"/>
      <w:ind w:left="720" w:hanging="720"/>
      <w:jc w:val="both"/>
    </w:pPr>
    <w:rPr>
      <w:sz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rsid w:val="002B0888"/>
    <w:pPr>
      <w:suppressAutoHyphens/>
    </w:pPr>
    <w:rPr>
      <w:rFonts w:cs="Calibri"/>
      <w:lang w:eastAsia="zh-CN"/>
    </w:rPr>
  </w:style>
  <w:style w:type="character" w:customStyle="1" w:styleId="PlainTextChar">
    <w:name w:val="Plain Text Char"/>
    <w:link w:val="PlainText"/>
    <w:uiPriority w:val="99"/>
    <w:locked/>
    <w:rsid w:val="002B0888"/>
    <w:rPr>
      <w:rFonts w:ascii="Calibri" w:hAnsi="Calibri" w:cs="Calibri"/>
      <w:lang w:eastAsia="zh-CN"/>
    </w:rPr>
  </w:style>
  <w:style w:type="character" w:styleId="CommentReference">
    <w:name w:val="annotation reference"/>
    <w:uiPriority w:val="99"/>
    <w:semiHidden/>
    <w:rsid w:val="00A310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10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3105C"/>
    <w:rPr>
      <w:rFonts w:ascii="Calibri" w:hAnsi="Calibri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1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3105C"/>
    <w:rPr>
      <w:rFonts w:ascii="Calibri" w:hAnsi="Calibri" w:cs="Times New Roman"/>
      <w:b/>
      <w:bCs/>
      <w:sz w:val="20"/>
      <w:szCs w:val="20"/>
      <w:lang w:eastAsia="bg-BG"/>
    </w:rPr>
  </w:style>
  <w:style w:type="paragraph" w:customStyle="1" w:styleId="Default">
    <w:name w:val="Default"/>
    <w:uiPriority w:val="99"/>
    <w:rsid w:val="00EA22D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Bodytext2">
    <w:name w:val="Body text|2_"/>
    <w:link w:val="Bodytext20"/>
    <w:uiPriority w:val="99"/>
    <w:locked/>
    <w:rsid w:val="00C21D12"/>
    <w:rPr>
      <w:rFonts w:cs="Times New Roman"/>
      <w:shd w:val="clear" w:color="auto" w:fill="FFFFFF"/>
    </w:rPr>
  </w:style>
  <w:style w:type="paragraph" w:customStyle="1" w:styleId="Bodytext20">
    <w:name w:val="Body text|2"/>
    <w:basedOn w:val="Normal"/>
    <w:link w:val="Bodytext2"/>
    <w:uiPriority w:val="99"/>
    <w:rsid w:val="00C21D12"/>
    <w:pPr>
      <w:widowControl w:val="0"/>
      <w:shd w:val="clear" w:color="auto" w:fill="FFFFFF"/>
      <w:spacing w:after="1080" w:line="266" w:lineRule="exact"/>
      <w:ind w:hanging="740"/>
    </w:pPr>
    <w:rPr>
      <w:rFonts w:ascii="Helvetica" w:hAnsi="Helvetica"/>
      <w:lang w:eastAsia="en-US"/>
    </w:rPr>
  </w:style>
  <w:style w:type="character" w:customStyle="1" w:styleId="Bodytext2Italic">
    <w:name w:val="Body text|2 + Italic"/>
    <w:uiPriority w:val="99"/>
    <w:semiHidden/>
    <w:rsid w:val="003E5B1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3E5B1A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val="hu-HU" w:eastAsia="zh-CN"/>
    </w:rPr>
  </w:style>
  <w:style w:type="character" w:customStyle="1" w:styleId="Footnote1">
    <w:name w:val="Footnote|1_"/>
    <w:link w:val="Footnote10"/>
    <w:uiPriority w:val="99"/>
    <w:locked/>
    <w:rsid w:val="00E676E3"/>
    <w:rPr>
      <w:rFonts w:cs="Times New Roman"/>
      <w:sz w:val="20"/>
      <w:szCs w:val="20"/>
      <w:shd w:val="clear" w:color="auto" w:fill="FFFFFF"/>
    </w:rPr>
  </w:style>
  <w:style w:type="paragraph" w:customStyle="1" w:styleId="Footnote10">
    <w:name w:val="Footnote|1"/>
    <w:basedOn w:val="Normal"/>
    <w:link w:val="Footnote1"/>
    <w:uiPriority w:val="99"/>
    <w:rsid w:val="00E676E3"/>
    <w:pPr>
      <w:widowControl w:val="0"/>
      <w:shd w:val="clear" w:color="auto" w:fill="FFFFFF"/>
      <w:spacing w:line="222" w:lineRule="exact"/>
      <w:ind w:hanging="380"/>
    </w:pPr>
    <w:rPr>
      <w:rFonts w:ascii="Helvetica" w:hAnsi="Helvetica"/>
      <w:sz w:val="20"/>
      <w:szCs w:val="20"/>
      <w:lang w:eastAsia="en-US"/>
    </w:rPr>
  </w:style>
  <w:style w:type="character" w:customStyle="1" w:styleId="Bodytext210pt">
    <w:name w:val="Body text|2 + 10 pt"/>
    <w:aliases w:val="Bold"/>
    <w:uiPriority w:val="99"/>
    <w:semiHidden/>
    <w:rsid w:val="00FB7B8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eastAsia="en-US"/>
    </w:rPr>
  </w:style>
  <w:style w:type="character" w:customStyle="1" w:styleId="Bodytext210pt1">
    <w:name w:val="Body text|2 + 10 pt1"/>
    <w:uiPriority w:val="99"/>
    <w:semiHidden/>
    <w:rsid w:val="00FB7B8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eastAsia="en-US"/>
    </w:rPr>
  </w:style>
  <w:style w:type="character" w:customStyle="1" w:styleId="Heading21">
    <w:name w:val="Heading #2|1_"/>
    <w:link w:val="Heading210"/>
    <w:uiPriority w:val="99"/>
    <w:locked/>
    <w:rsid w:val="00084F7E"/>
    <w:rPr>
      <w:rFonts w:cs="Times New Roman"/>
      <w:b/>
      <w:bCs/>
      <w:shd w:val="clear" w:color="auto" w:fill="FFFFFF"/>
    </w:rPr>
  </w:style>
  <w:style w:type="paragraph" w:customStyle="1" w:styleId="Heading210">
    <w:name w:val="Heading #2|1"/>
    <w:basedOn w:val="Normal"/>
    <w:link w:val="Heading21"/>
    <w:uiPriority w:val="99"/>
    <w:rsid w:val="00084F7E"/>
    <w:pPr>
      <w:widowControl w:val="0"/>
      <w:shd w:val="clear" w:color="auto" w:fill="FFFFFF"/>
      <w:spacing w:before="700" w:line="266" w:lineRule="exact"/>
      <w:ind w:hanging="740"/>
      <w:jc w:val="both"/>
      <w:outlineLvl w:val="1"/>
    </w:pPr>
    <w:rPr>
      <w:rFonts w:ascii="Helvetica" w:hAnsi="Helvetica"/>
      <w:b/>
      <w:bCs/>
      <w:lang w:eastAsia="en-US"/>
    </w:rPr>
  </w:style>
  <w:style w:type="character" w:styleId="Hyperlink">
    <w:name w:val="Hyperlink"/>
    <w:uiPriority w:val="99"/>
    <w:rsid w:val="00DE58D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B498A"/>
    <w:rPr>
      <w:rFonts w:ascii="Calibri" w:hAnsi="Calibri"/>
      <w:sz w:val="22"/>
      <w:szCs w:val="22"/>
      <w:lang w:val="bg-BG" w:eastAsia="bg-BG"/>
    </w:rPr>
  </w:style>
  <w:style w:type="character" w:customStyle="1" w:styleId="UnresolvedMention1">
    <w:name w:val="Unresolved Mention1"/>
    <w:uiPriority w:val="99"/>
    <w:semiHidden/>
    <w:rsid w:val="0065086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sid w:val="00ED2B7D"/>
    <w:rPr>
      <w:rFonts w:cs="Times New Roman"/>
      <w:color w:val="954F72"/>
      <w:u w:val="single"/>
    </w:rPr>
  </w:style>
  <w:style w:type="character" w:styleId="FootnoteReference">
    <w:name w:val="footnote reference"/>
    <w:uiPriority w:val="99"/>
    <w:semiHidden/>
    <w:rsid w:val="00ED2B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651B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651B8"/>
    <w:rPr>
      <w:rFonts w:ascii="Calibri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rsid w:val="005651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651B8"/>
    <w:rPr>
      <w:rFonts w:ascii="Calibri" w:hAnsi="Calibri" w:cs="Times New Roman"/>
      <w:lang w:eastAsia="bg-BG"/>
    </w:rPr>
  </w:style>
  <w:style w:type="character" w:customStyle="1" w:styleId="alt2">
    <w:name w:val="al_t2"/>
    <w:uiPriority w:val="99"/>
    <w:rsid w:val="006166EA"/>
    <w:rPr>
      <w:rFonts w:cs="Times New Roman"/>
    </w:rPr>
  </w:style>
  <w:style w:type="character" w:customStyle="1" w:styleId="alcapt2">
    <w:name w:val="al_capt2"/>
    <w:uiPriority w:val="99"/>
    <w:rsid w:val="006166EA"/>
    <w:rPr>
      <w:rFonts w:cs="Times New Roman"/>
      <w:i/>
      <w:iCs/>
    </w:rPr>
  </w:style>
  <w:style w:type="character" w:customStyle="1" w:styleId="subparinclink">
    <w:name w:val="subparinclink"/>
    <w:uiPriority w:val="99"/>
    <w:rsid w:val="006166EA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6166EA"/>
    <w:rPr>
      <w:rFonts w:ascii="Times New Roman" w:hAnsi="Times New Roman" w:cs="Times New Roman"/>
      <w:sz w:val="24"/>
      <w:szCs w:val="24"/>
      <w:lang w:val="hu-HU" w:eastAsia="zh-CN"/>
    </w:rPr>
  </w:style>
  <w:style w:type="character" w:customStyle="1" w:styleId="UnresolvedMention">
    <w:name w:val="Unresolved Mention"/>
    <w:uiPriority w:val="99"/>
    <w:semiHidden/>
    <w:rsid w:val="00AD6547"/>
    <w:rPr>
      <w:rFonts w:cs="Times New Roman"/>
      <w:color w:val="605E5C"/>
      <w:shd w:val="clear" w:color="auto" w:fill="E1DFDD"/>
    </w:rPr>
  </w:style>
  <w:style w:type="paragraph" w:customStyle="1" w:styleId="CharCharChar">
    <w:name w:val="Char Char Char Знак"/>
    <w:basedOn w:val="Normal"/>
    <w:uiPriority w:val="99"/>
    <w:rsid w:val="00BE498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competition/transparen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uri=CELEX:02014R0651-201707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c.europa.eu/taxation_customs/sites/taxation/files/recommendation_state_aid_tax_have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taxation_customs/news/council-revises-its-eu-list-non-cooperative-jurisdictions-4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16893</CharactersWithSpaces>
  <SharedDoc>false</SharedDoc>
  <HLinks>
    <vt:vector size="24" baseType="variant">
      <vt:variant>
        <vt:i4>1507445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https://ec.europa.eu/taxation_customs/sites/taxation/files/recommendation_state_aid_tax_havens.pdf</vt:lpwstr>
      </vt:variant>
      <vt:variant>
        <vt:lpwstr/>
      </vt:variant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https://ec.europa.eu/taxation_customs/news/council-revises-its-eu-list-non-cooperative-jurisdictions-4_en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https://webgate.ec.europa.eu/competition/transparency/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https://eur-lex.europa.eu/legal-content/EN/TXT/?uri=CELEX:02014R0651-20170710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Mateva</dc:creator>
  <cp:lastModifiedBy>Nusha Ivanova</cp:lastModifiedBy>
  <cp:revision>2</cp:revision>
  <cp:lastPrinted>2020-11-03T17:11:00Z</cp:lastPrinted>
  <dcterms:created xsi:type="dcterms:W3CDTF">2020-11-18T08:37:00Z</dcterms:created>
  <dcterms:modified xsi:type="dcterms:W3CDTF">2020-11-18T08:37:00Z</dcterms:modified>
</cp:coreProperties>
</file>